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AA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F9B8CB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7CB16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5AD98B3" w14:textId="77777777" w:rsidR="004B553E" w:rsidRPr="004923F4" w:rsidRDefault="00BF47B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Rani i razvijeni realizam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FC7E94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34D82B1" w14:textId="6D59C165" w:rsidR="004B553E" w:rsidRPr="004923F4" w:rsidRDefault="005D4DF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C43C8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C43C8B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1E560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729F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16D1CC8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F629E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BB17514" w14:textId="77777777" w:rsidR="004B553E" w:rsidRPr="004923F4" w:rsidRDefault="00B10EB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194BD2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1BC4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2C060BC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740095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DA6025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0A71FE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67F4D5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CC7B2F7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42980D4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2E9FC0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B38E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968BF3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27C03D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AABE95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0232B6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442FC8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CE083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7743E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B7401A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713C1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F1BFE74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FFD5A6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582902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12ED61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28727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6BB36C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7319FC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5CB5834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503A49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7CE560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1C7193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E1F488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B86889A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CD8EA4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8A18F0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8F8A71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62F8D0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9430843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BA0B26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EE8FEE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BFC93A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3362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5601B5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304DBC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C70239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12C1A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B9B32E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684492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9F98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0A6E49E" w14:textId="77777777" w:rsidR="009A284F" w:rsidRPr="004923F4" w:rsidRDefault="00AD047D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4D9D782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D1792FD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C6EC26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02603F3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0D72633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854D19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8F9E99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DC975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F77FE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0F2FB90" w14:textId="77777777" w:rsidR="009A284F" w:rsidRPr="00AD047D" w:rsidRDefault="00B10E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petkom 12:00-14:00,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4A9AF10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CADB3EE" w14:textId="77777777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497B8B3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A7A5D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D915DBA" w14:textId="2B20DA5D" w:rsidR="009A284F" w:rsidRDefault="00F41A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B69BD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90E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C58C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1B575F9" w14:textId="7161BB3E" w:rsidR="009A284F" w:rsidRDefault="00AD047D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41A79">
              <w:rPr>
                <w:rFonts w:ascii="Times New Roman" w:hAnsi="Times New Roman" w:cs="Times New Roman"/>
                <w:sz w:val="18"/>
              </w:rPr>
              <w:t>7</w:t>
            </w:r>
            <w:r w:rsidR="008379F7">
              <w:rPr>
                <w:rFonts w:ascii="Times New Roman" w:hAnsi="Times New Roman" w:cs="Times New Roman"/>
                <w:sz w:val="18"/>
              </w:rPr>
              <w:t>. 1. 202</w:t>
            </w:r>
            <w:r w:rsidR="00F41A79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F78DD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990BA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1601E58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ED5B7C">
              <w:rPr>
                <w:rFonts w:ascii="Times New Roman" w:hAnsi="Times New Roman" w:cs="Times New Roman"/>
                <w:i/>
                <w:sz w:val="18"/>
              </w:rPr>
              <w:t>Ruski romantizam</w:t>
            </w:r>
          </w:p>
        </w:tc>
      </w:tr>
      <w:tr w:rsidR="009A284F" w:rsidRPr="009947BA" w14:paraId="65557E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CEA9D0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0241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DF40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EC2534B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30615C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98DDB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7E911D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920B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7CA8BC8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3DFC2D7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32536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FB781D1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29B4E9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69999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35B110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AD674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46DDBA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23671DF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8131FB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8BDB5C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5F52D8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9E1432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D918B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095E22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1119218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A1E555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54776E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F3229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8263B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737C55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9B338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A14014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C82E99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4747CD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1A884B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8F7EDF7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B62519">
              <w:rPr>
                <w:rFonts w:ascii="Times New Roman" w:hAnsi="Times New Roman" w:cs="Times New Roman"/>
                <w:sz w:val="18"/>
              </w:rPr>
              <w:t>amostalno identificirati postromantičarske tendencije u ruskoj književnosti i razvojne faze ruskoga realizma</w:t>
            </w:r>
            <w:r w:rsidR="003B63B0"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71113F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društveni i povijesni kontekst sredine i druge polovine 19. stoljeća u Europi i u Rusiji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EAF62AC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općenite karakteristike realizma i njegovih razvojnih faza te osobitosti ruskog realizma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9693095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književnopovijesnu problematiku vezanu uz stilsku formaciju realizma s osobitim osvrtom na ulogu ruske utilitarne kritike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379A4A2" w14:textId="77777777"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B62519">
              <w:rPr>
                <w:rFonts w:ascii="Times New Roman" w:hAnsi="Times New Roman" w:cs="Times New Roman"/>
                <w:sz w:val="18"/>
              </w:rPr>
              <w:t>ritički analizirati odabrane tekstove ranog i razvijenog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CADD941" w14:textId="77777777" w:rsidR="00785CAA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B62519">
              <w:rPr>
                <w:rFonts w:ascii="Times New Roman" w:hAnsi="Times New Roman" w:cs="Times New Roman"/>
                <w:sz w:val="18"/>
              </w:rPr>
              <w:t>emonstrirati poznavanje konteksta i književnosti autorica druge polovine 19. stoljeća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695DCD14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3E6F37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E17EE03" w14:textId="77777777"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47129646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2F1BC336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571CC8E8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14:paraId="06544167" w14:textId="77777777"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C60156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E916F1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88932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D2306C2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3C72C9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B06C78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E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E21F0C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71F78A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D64A7D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E9B0EB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828FF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6DAE60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6B783D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948CAA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8927D4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6DD9B4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4DF8C2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90827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E9A5A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D841D9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070906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960E28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7ED75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11304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176DC48" w14:textId="77777777"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14:paraId="2BBF89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C628D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194593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08EFC36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8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86E54FF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E90056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F81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0CEE964" w14:textId="77777777" w:rsidR="004F699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14:paraId="7CDC82F5" w14:textId="77777777" w:rsidR="0032423A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298E4D8" w14:textId="77777777" w:rsidR="00632D29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B419A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2C904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6A77BF6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F005FF">
              <w:rPr>
                <w:rFonts w:ascii="Times New Roman" w:eastAsia="MS Gothic" w:hAnsi="Times New Roman" w:cs="Times New Roman"/>
                <w:i/>
                <w:sz w:val="18"/>
              </w:rPr>
              <w:t>Rani i razvijeni realizam</w:t>
            </w: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izvodi se kroz tri modula: </w:t>
            </w:r>
          </w:p>
          <w:p w14:paraId="724B5E7C" w14:textId="77777777"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M1 Realizam </w:t>
            </w:r>
          </w:p>
          <w:p w14:paraId="5074BE3F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Uvodni teorijski modul koji studentima/icama predstavlja ruski realizam u kontekstu povijesti književnosti europskoga kulturnoga kruga s posebnim osvrtom na posebnosti povijesti ruske književnosti. Dat će se uvid u općeniti društveno-povijesni kontekst te kontekst stvaralaštva autorica druge polovine 19. stoljeća. Predstavit će se uobičajene podjele stilske formacije i karakteristike razvojnih faza te naturalna škola. Posebna pažnja posvetit će se književnopovijesnoj problematici vezanoj uz realizam u vezi s ruskom utilitarnom kritikom 19. stoljeća. </w:t>
            </w:r>
          </w:p>
          <w:p w14:paraId="29B352D3" w14:textId="77777777" w:rsidR="00545C26" w:rsidRPr="00545C26" w:rsidRDefault="00545C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M2 Rani realizam: </w:t>
            </w:r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N. V. Gogol' </w:t>
            </w:r>
          </w:p>
          <w:p w14:paraId="5F7D3D9F" w14:textId="77777777"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Analitički modul koji se se pored znanja o kontekstu i autoru koncentrira na analizu odabranih tekstova kroz različite pristupe, osobito kroz dijalog s tradicionalnijim pristupima. Posebna pažnja posvetit će se prijeporima vezanim uz određenje N. V. Gogolja kao realista. </w:t>
            </w:r>
          </w:p>
          <w:p w14:paraId="62B1D5DA" w14:textId="77777777"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M3 Razvijeni realizam: I. S. Turgenev, I. A. Gončarov </w:t>
            </w:r>
          </w:p>
          <w:p w14:paraId="5B65E4E9" w14:textId="77777777" w:rsidR="009A284F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Analitički modul koji se pored znanja o kontekstu i autorima koncentrira na analizu odabranih tekstova kroz različite pristupe, osobito kroz dijalog s tradicionalnijim pristupima. Zaseban vid pristupa nekim od naslova bit će filmske projekcije nakon kojih će slijediti rasprava o adaptaciji književnog predloška u filmski medij.</w:t>
            </w:r>
          </w:p>
          <w:p w14:paraId="6F0B9AE1" w14:textId="77777777" w:rsidR="00F005FF" w:rsidRPr="009947BA" w:rsidRDefault="00F005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7BCDD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D40EE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84BDC4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Uvodni sat. Realizam u književnostima europskoga kulturnoga kruga.</w:t>
            </w:r>
          </w:p>
          <w:p w14:paraId="114D6F8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Ruski realizam. Rani i razvijeni realizam. Naturalna škola. Društveno-povijesni i kulturni kontekst. Ruska književna kritika 19. stoljeća. Spisateljice vremena ranog i razvijenog realizma</w:t>
            </w:r>
            <w:r w:rsidR="009C7C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2BC2D4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73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N. V. Gogol'. Gogol' i kritika. „Šinel'“. Titularni savjetnici i prepisivači u ruskoj književnosti. Pristupi tekstu. Vladimir Nabokov. Dmitrij Čiževskij.</w:t>
            </w:r>
          </w:p>
          <w:p w14:paraId="68223FE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7960" w:rsidRPr="001B7960"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„Šinel'“. Boris Èjhenbaum „Kak sdelana 'Šinel'' Gogolja“. „Šinel'“ kao žitije.</w:t>
            </w:r>
          </w:p>
          <w:p w14:paraId="04FA80D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„Nos“. Osnovne karakteristike stila N. V. Gogolja na primjeru pripovijetke. Gestikulacijski aspekti Gogoljeve proze.</w:t>
            </w:r>
          </w:p>
          <w:p w14:paraId="192CD47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„Nevskij prospekt“. Pristupi tekstu. V. N. Toporov i „peterburški tekst“</w:t>
            </w:r>
            <w:r w:rsid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7DF29A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„Zapiski sumasšedšego“. Titularni savjetnik, tjeskoba položaja, emancipatorno pisanje.</w:t>
            </w:r>
          </w:p>
          <w:p w14:paraId="774DB8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Kontekst. Kritika</w:t>
            </w:r>
          </w:p>
          <w:p w14:paraId="7BA7D4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Prostor. Karakterizacija</w:t>
            </w:r>
          </w:p>
          <w:p w14:paraId="7091372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I. S. Turgenev. </w:t>
            </w:r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Kritika.</w:t>
            </w:r>
          </w:p>
          <w:p w14:paraId="0DFDB39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="00A8196F">
              <w:rPr>
                <w:rFonts w:ascii="Times New Roman" w:eastAsia="MS Gothic" w:hAnsi="Times New Roman" w:cs="Times New Roman"/>
                <w:sz w:val="18"/>
              </w:rPr>
              <w:t>. Nihilizam, idealizam, antin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ihilizam: kontekst.</w:t>
            </w:r>
          </w:p>
          <w:p w14:paraId="58DFEC1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14:paraId="217123B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I. A. Gončarov.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Kronotop. Nostalgija. Cikličnost.</w:t>
            </w:r>
          </w:p>
          <w:p w14:paraId="0C73286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Karakterizacija. Kritika.</w:t>
            </w:r>
          </w:p>
          <w:p w14:paraId="38E0B401" w14:textId="77777777" w:rsidR="009A284F" w:rsidRDefault="009A284F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14:paraId="1F666EFF" w14:textId="77777777" w:rsidR="009D3AA7" w:rsidRPr="00DE6D53" w:rsidRDefault="009D3AA7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037B26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B2DF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33EEDD0" w14:textId="77777777"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Gogol', N. V. </w:t>
            </w:r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Sobranie sočinenij v devjati tomah. Tom 5. Mertvye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Russkaja kniga, 1994; Moskva – Augsburg: ImWerdenVerlag, 2003. </w:t>
            </w:r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0362E4A" w14:textId="77777777"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Sobranie sočinenij v devjati tomah. Tom 3. Povesti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Russkaja kniga, 1994; Moskva – Augsburg: ImWerdenVerlag, 2001. </w:t>
            </w:r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99A8BAD" w14:textId="77777777" w:rsidR="00600325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Turgenev, I. S. </w:t>
            </w:r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 i deti. Polnoe sobranie sočinenij i pisem v tridcati tomah. Sočinenija v dvenadcati tomah. Tom 7. Otcy i deti. Povesti i rasskazy. Dym. 1861 – 1867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Izdate'stvo „Nauka“, 1981. </w:t>
            </w:r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Nekommerčeskaja èlektronnaja biblioteka </w:t>
            </w:r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„ImWerden“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8ED2791" w14:textId="77777777" w:rsidR="00D61F67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Gončarov, I. A.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dvadcati tomah. Tom četvertyj. Oblomov. Roman v četyreh častjah</w:t>
            </w:r>
            <w:r w:rsidR="00404AA7">
              <w:rPr>
                <w:rFonts w:ascii="Times New Roman" w:eastAsia="MS Gothic" w:hAnsi="Times New Roman" w:cs="Times New Roman"/>
                <w:sz w:val="18"/>
              </w:rPr>
              <w:t>. Sankt-Peterburg: Nauka, 1998.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</w:t>
            </w:r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rden“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D13B69A" w14:textId="77777777" w:rsidR="00FD00D3" w:rsidRDefault="00FD00D3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14:paraId="6850EC03" w14:textId="77777777" w:rsidR="009A284F" w:rsidRPr="009947BA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* Studenti/ice obavezno trebaju pročitati pripovijetke „Kabanica“ („Šinel'“), „Nos“ („Nos“), „Nevski prospekt“ („Nevskij prospekt“), „Luđakov dnevnik“ („Zapiski sumasšedšego“) i roman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Mrtve duše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Mertye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N. V. Gogolja, te romane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Očevi i djeca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Otcy i deti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S. 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Turgeneva i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>) I. A. Gončarova. Navedena izdanja služe isključivo kao primjer.</w:t>
            </w:r>
          </w:p>
        </w:tc>
      </w:tr>
      <w:tr w:rsidR="009A284F" w:rsidRPr="009947BA" w14:paraId="1B2204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81D10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D3DA88D" w14:textId="77777777" w:rsidR="009A284F" w:rsidRDefault="00BF3BB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Diment, Galya (ur.). </w:t>
            </w:r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Goncharov's Oblomov: A Critical Companion</w:t>
            </w:r>
            <w:r w:rsidRPr="00BF3BB3">
              <w:rPr>
                <w:rFonts w:ascii="Times New Roman" w:eastAsia="MS Gothic" w:hAnsi="Times New Roman" w:cs="Times New Roman"/>
                <w:sz w:val="18"/>
              </w:rPr>
              <w:t>. Evanston: Northwestern UP, 1998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781858" w14:textId="77777777" w:rsidR="0040435F" w:rsidRDefault="004043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Èpštejn, M. N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Paradoksy novizny. O literaturnom razvitii XIX – XX vekov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>. Moskva: Sovetskij pisatel', 1988.</w:t>
            </w:r>
          </w:p>
          <w:p w14:paraId="174AA9C2" w14:textId="77777777" w:rsidR="00AF3B47" w:rsidRDefault="00AF3B4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 and Romantic Realism. A Study of Dostoevsky in Relation to Balzac, Dickens, and Gogol</w:t>
            </w:r>
            <w:r w:rsidRPr="00AF3B47">
              <w:rPr>
                <w:rFonts w:ascii="Times New Roman" w:eastAsia="MS Gothic" w:hAnsi="Times New Roman" w:cs="Times New Roman"/>
                <w:sz w:val="18"/>
              </w:rPr>
              <w:t>. Cambridge: Harvard UP, 1965.</w:t>
            </w:r>
          </w:p>
          <w:p w14:paraId="265F3D63" w14:textId="77777777" w:rsidR="003A3184" w:rsidRDefault="003A318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Flaker, Aleksandar. </w:t>
            </w:r>
            <w:r w:rsidRPr="003A3184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3A3184">
              <w:rPr>
                <w:rFonts w:ascii="Times New Roman" w:eastAsia="MS Gothic" w:hAnsi="Times New Roman" w:cs="Times New Roman"/>
                <w:sz w:val="18"/>
              </w:rPr>
              <w:t>. Zagreb: SNL, 1986.</w:t>
            </w:r>
          </w:p>
          <w:p w14:paraId="2EC2C480" w14:textId="77777777"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Karlinsky, Simon.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The Sexual Labyrinth of Nikolai Gogol</w:t>
            </w: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Cambridge: Harvard UP, 1976. </w:t>
            </w:r>
          </w:p>
          <w:p w14:paraId="00F92B8F" w14:textId="77777777"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Kelly, Catriona.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A History of Russian Women's Writing</w:t>
            </w:r>
            <w:r w:rsidRPr="00AC51AC">
              <w:rPr>
                <w:rFonts w:ascii="Times New Roman" w:eastAsia="MS Gothic" w:hAnsi="Times New Roman" w:cs="Times New Roman"/>
                <w:sz w:val="18"/>
              </w:rPr>
              <w:t>, 1820-1992. Oxford: Oxford UP, 1994.</w:t>
            </w:r>
          </w:p>
          <w:p w14:paraId="7208C43E" w14:textId="77777777" w:rsidR="00A45C53" w:rsidRDefault="00A45C53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A45C53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C7F23">
              <w:rPr>
                <w:rFonts w:ascii="Times New Roman" w:eastAsia="MS Gothic" w:hAnsi="Times New Roman" w:cs="Times New Roman"/>
                <w:sz w:val="18"/>
              </w:rPr>
              <w:t xml:space="preserve">Prev. </w:t>
            </w:r>
            <w:r w:rsidR="001C1E11">
              <w:rPr>
                <w:rFonts w:ascii="Times New Roman" w:eastAsia="MS Gothic" w:hAnsi="Times New Roman" w:cs="Times New Roman"/>
                <w:sz w:val="18"/>
              </w:rPr>
              <w:t xml:space="preserve">Milka Car i Dubravka Zima. 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>Zagreb: Golden Marketing, 2009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5D80AD" w14:textId="77777777" w:rsidR="00077DF7" w:rsidRDefault="00077DF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7DF7">
              <w:rPr>
                <w:rFonts w:ascii="Times New Roman" w:eastAsia="MS Gothic" w:hAnsi="Times New Roman" w:cs="Times New Roman"/>
                <w:sz w:val="18"/>
              </w:rPr>
              <w:t xml:space="preserve">Lotman, Ju. M. </w:t>
            </w:r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Besedy o russkoj kul'ture. Byt i tradicii russkog dvorjanstva (XIII – načalo XIX veka)</w:t>
            </w:r>
            <w:r w:rsidRPr="00077DF7">
              <w:rPr>
                <w:rFonts w:ascii="Times New Roman" w:eastAsia="MS Gothic" w:hAnsi="Times New Roman" w:cs="Times New Roman"/>
                <w:sz w:val="18"/>
              </w:rPr>
              <w:t>. Sankt-Peterburg: „Iskusstvo-SPB“, 1994.</w:t>
            </w:r>
          </w:p>
          <w:p w14:paraId="7F1E3F7D" w14:textId="77777777" w:rsidR="00823D50" w:rsidRDefault="00823D5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Maguire, Robert A. </w:t>
            </w:r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Gogol from the Twentieth Century: Eleven Essays</w:t>
            </w:r>
            <w:r w:rsidRPr="00823D50">
              <w:rPr>
                <w:rFonts w:ascii="Times New Roman" w:eastAsia="MS Gothic" w:hAnsi="Times New Roman" w:cs="Times New Roman"/>
                <w:sz w:val="18"/>
              </w:rPr>
              <w:t>. Princeton: Princeton UP, 1974.</w:t>
            </w:r>
          </w:p>
          <w:p w14:paraId="4676AC06" w14:textId="77777777" w:rsidR="009D09E4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Moser, Charles A. </w:t>
            </w:r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Antinihilism in the Russian Novel of the 1860's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London – The Hague – Paris: Mouton &amp; Co., 1964. </w:t>
            </w:r>
          </w:p>
          <w:p w14:paraId="51B247B5" w14:textId="77777777" w:rsidR="00823D50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Esthetics as Nightmare: Russian Literary Theory, 1855-1870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>. Princeton: Princeton UP, 1989.</w:t>
            </w:r>
          </w:p>
          <w:p w14:paraId="3F75C950" w14:textId="77777777" w:rsidR="00BE54CA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NY: New Directions, 1961. </w:t>
            </w:r>
          </w:p>
          <w:p w14:paraId="24B8E4BF" w14:textId="77777777" w:rsidR="00D524D1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>. New York: Harcourt Brace Jovanovich, 1981.</w:t>
            </w:r>
          </w:p>
          <w:p w14:paraId="642C2F54" w14:textId="77777777"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Toporov, V. N. </w:t>
            </w:r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Peterburgskij tekst russkoj literatury. Izbrannye trudy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SanktPeterburg: „Iskusstvo-SPB“, 2003. </w:t>
            </w:r>
          </w:p>
          <w:p w14:paraId="0E208F59" w14:textId="77777777"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Tynjanov, Jurij. </w:t>
            </w:r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Dostoevskij i Gogol' (k teorii parodii)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Petrograd: Izdanie „OPOJAZ“, 1921.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27F70B" w14:textId="77777777" w:rsidR="008926D7" w:rsidRDefault="008926D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926D7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Pr="008926D7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8926D7">
              <w:rPr>
                <w:rFonts w:ascii="Times New Roman" w:eastAsia="MS Gothic" w:hAnsi="Times New Roman" w:cs="Times New Roman"/>
                <w:sz w:val="18"/>
              </w:rPr>
              <w:t>. Zagreb: Hrvatska sveučilišna naklada, 2016.</w:t>
            </w:r>
          </w:p>
          <w:p w14:paraId="223D0CD5" w14:textId="77777777" w:rsidR="000A3017" w:rsidRPr="009947BA" w:rsidRDefault="000A301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Vojvodić, Jasmina.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Gesta, tijelo, kultura: gestikulacijski aspekti u djelu Nikolaja Gogolja</w:t>
            </w:r>
            <w:r w:rsidRPr="000A3017">
              <w:rPr>
                <w:rFonts w:ascii="Times New Roman" w:eastAsia="MS Gothic" w:hAnsi="Times New Roman" w:cs="Times New Roman"/>
                <w:sz w:val="18"/>
              </w:rPr>
              <w:t>. Zagreb: Disput, 2006.</w:t>
            </w:r>
          </w:p>
        </w:tc>
      </w:tr>
      <w:tr w:rsidR="009A284F" w:rsidRPr="009947BA" w14:paraId="084A330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1FC40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4B03547" w14:textId="77777777" w:rsidR="009A284F" w:rsidRDefault="00D437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Belyj, Andrej. </w:t>
            </w:r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Masterstvo Gogolja. Issledovanie</w:t>
            </w:r>
            <w:r w:rsidRPr="00D437E6">
              <w:rPr>
                <w:rFonts w:ascii="Times New Roman" w:eastAsia="MS Gothic" w:hAnsi="Times New Roman" w:cs="Times New Roman"/>
                <w:sz w:val="18"/>
              </w:rPr>
              <w:t>. Moskva – Leningrad: OGIZ Gosudarstvennoe izdatel'stvo hudožestvennoj liter</w:t>
            </w:r>
            <w:r w:rsidR="00FC7143">
              <w:rPr>
                <w:rFonts w:ascii="Times New Roman" w:eastAsia="MS Gothic" w:hAnsi="Times New Roman" w:cs="Times New Roman"/>
                <w:sz w:val="18"/>
              </w:rPr>
              <w:t>atury, 1934.</w:t>
            </w:r>
          </w:p>
          <w:p w14:paraId="26F8E4DA" w14:textId="77777777" w:rsidR="00FC7143" w:rsidRDefault="00FC71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Borowec, Christine. „Time after Time: The Temporal Ideology of Oblomov“.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Journal </w:t>
            </w:r>
            <w:r w:rsidRPr="00FC7143">
              <w:rPr>
                <w:rFonts w:ascii="Times New Roman" w:eastAsia="MS Gothic" w:hAnsi="Times New Roman" w:cs="Times New Roman"/>
                <w:sz w:val="18"/>
              </w:rPr>
              <w:t>38.4 (1994): 5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61-573.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703392" w14:textId="77777777" w:rsidR="00404AA7" w:rsidRDefault="00404A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Davydov, Sergei. „Gogol's Petersburg“.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New England Review</w:t>
            </w:r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(1990-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 27.1 (2006): 122-127.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C77409B" w14:textId="77777777" w:rsidR="00404AA7" w:rsidRDefault="00167F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67FC8">
              <w:rPr>
                <w:rFonts w:ascii="Times New Roman" w:eastAsia="MS Gothic" w:hAnsi="Times New Roman" w:cs="Times New Roman"/>
                <w:sz w:val="18"/>
              </w:rPr>
              <w:t>Èjhenbaum, B. M. „Kak sdelana 'Šinel'' Gogol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ja“. </w:t>
            </w:r>
            <w:r w:rsidRPr="00167FC8">
              <w:rPr>
                <w:rFonts w:ascii="Times New Roman" w:eastAsia="MS Gothic" w:hAnsi="Times New Roman" w:cs="Times New Roman"/>
                <w:i/>
                <w:sz w:val="18"/>
              </w:rPr>
              <w:t>OPOJAZ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5F6489B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Gregg, Richard. „À la recherche du nez perdu: An Inquiry into the Genealogical and Onomastic Origins of 'The Nose'“.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40.4 (1981): 365-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377.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44C5B66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---. „Gogol's 'Diary of a Madman': The Fallible Scribe and the Sinister Bulge“.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43.3 (1999): 439-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451.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05AF98D" w14:textId="77777777"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Gustafson, Richard F. „The Suffering Usurper: Gogol's 'Diary of a Madman'“.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9.3 (1965): 268-280.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D24511E" w14:textId="77777777" w:rsidR="00EC2E9B" w:rsidRDefault="00EC2E9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Kolb-Seletski, Natalia M. „Gastronomy, Gogol, and His Fiction“.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29.1 (1970): 35-57.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48BCE6" w14:textId="77777777" w:rsidR="00477B1C" w:rsidRDefault="00477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Kuhn, Alfred. „Dobroliubov's Critique of Oblomov: Polemics and Psychology“.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30.1 (1971): 93-109.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8392FB" w14:textId="77777777"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LeBlanc, Ronald D. „Dinner with Chichikov: The Fictional Meal as Narrative Device in Gogol's Dead Souls“.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Modern Language Studies</w:t>
            </w: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18.4 (1988): 68-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80.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CAA6F57" w14:textId="77777777"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---. „Food, Orality, and Nostalgia for Childhood: Gastronomic Slavophilism in Midnineteenth-Century Russian Fiction“.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58.2 (1999): 244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-267.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17E335F" w14:textId="77777777" w:rsidR="00765461" w:rsidRDefault="0076546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Peppard, Victor. „Who Stole Whose Overcoat and Whose Text Is It?“.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South Atlantic Review</w:t>
            </w:r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55.1 (1990): 63-80.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85AA64" w14:textId="77777777" w:rsidR="007578EF" w:rsidRDefault="007578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Proffer, Carl R. „Gogol's Definition of Romanticism“.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Studies in Romanticism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6.2 (1967): 120-127.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FE680DE" w14:textId="77777777" w:rsidR="00940947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Sazonova, Julia. „The German in Russian Literature“.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 American Slavic and East European Review</w:t>
            </w: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4.1/2 (1945): 51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-79.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EA8383" w14:textId="77777777" w:rsidR="007578EF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Seifrid, Thomas. „Suspicion toward Narrative: The Nose and the Problem of Autonomy in Gogol's 'Nos'“.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52.3 (1993):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382-396.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7C421A5" w14:textId="77777777" w:rsidR="00940947" w:rsidRDefault="00940E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Schillinger, John. „Gogol's 'The Overcoat' as a Travesty of Hagiography“.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16.1 (1972):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6-41.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A4B5D62" w14:textId="77777777" w:rsidR="00940E34" w:rsidRPr="007578EF" w:rsidRDefault="005707A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707A3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Sloane, David. „The Name as Phonetic Icon: A Reconsideration of Onomastic Significance in Gogol's 'The Overcoat'“.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35.4 (1991): 473-488.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118C946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9520E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11C646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944DAD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6C012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26A1B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A15CE7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19E191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935AF9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B9D45A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B8550A2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4734F9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41DF75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99DFC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72B8AA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C73C219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EA1C37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349297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8C7CE7B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4493D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BF5755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860941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F2A76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A711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0588671" w14:textId="77777777"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778DE4A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B0E9B4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A67BE8D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905CCD6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7E900E9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E5D610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89639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6BE3CA5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0B2966E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54E6353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60B4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BFA1DC4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7554E51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EAD24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947B4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14A8679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6315997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EAEFD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3704DE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68A061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56DD9BC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F19C5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36BB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0C3CDE7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2BEFDC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41B3DA5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418C82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5C419A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04F02A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DC6C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7EF45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A6F9A5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6820B4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5F7515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BF7AF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80BED4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9A259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09FF9A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43A3F1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1FAC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42253B5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899C" w14:textId="77777777" w:rsidR="003F43C4" w:rsidRDefault="003F43C4" w:rsidP="009947BA">
      <w:pPr>
        <w:spacing w:before="0" w:after="0"/>
      </w:pPr>
      <w:r>
        <w:separator/>
      </w:r>
    </w:p>
  </w:endnote>
  <w:endnote w:type="continuationSeparator" w:id="0">
    <w:p w14:paraId="397F556E" w14:textId="77777777" w:rsidR="003F43C4" w:rsidRDefault="003F43C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B1C8" w14:textId="77777777" w:rsidR="003F43C4" w:rsidRDefault="003F43C4" w:rsidP="009947BA">
      <w:pPr>
        <w:spacing w:before="0" w:after="0"/>
      </w:pPr>
      <w:r>
        <w:separator/>
      </w:r>
    </w:p>
  </w:footnote>
  <w:footnote w:type="continuationSeparator" w:id="0">
    <w:p w14:paraId="72CC3F23" w14:textId="77777777" w:rsidR="003F43C4" w:rsidRDefault="003F43C4" w:rsidP="009947BA">
      <w:pPr>
        <w:spacing w:before="0" w:after="0"/>
      </w:pPr>
      <w:r>
        <w:continuationSeparator/>
      </w:r>
    </w:p>
  </w:footnote>
  <w:footnote w:id="1">
    <w:p w14:paraId="7302FB82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D5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70C7F" wp14:editId="7C375D4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F0014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4AA60B3" wp14:editId="774C9D3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26562F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692165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D6ED593" w14:textId="77777777" w:rsidR="0079745E" w:rsidRDefault="0079745E" w:rsidP="0079745E">
    <w:pPr>
      <w:pStyle w:val="Header"/>
    </w:pPr>
  </w:p>
  <w:p w14:paraId="500452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00527">
    <w:abstractNumId w:val="0"/>
  </w:num>
  <w:num w:numId="2" w16cid:durableId="1990665917">
    <w:abstractNumId w:val="2"/>
  </w:num>
  <w:num w:numId="3" w16cid:durableId="205299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803"/>
    <w:rsid w:val="0001045D"/>
    <w:rsid w:val="00077DF7"/>
    <w:rsid w:val="00085F09"/>
    <w:rsid w:val="000A3017"/>
    <w:rsid w:val="000A790E"/>
    <w:rsid w:val="000C0578"/>
    <w:rsid w:val="000C31F4"/>
    <w:rsid w:val="0010332B"/>
    <w:rsid w:val="00127D61"/>
    <w:rsid w:val="001443A2"/>
    <w:rsid w:val="0015089A"/>
    <w:rsid w:val="00150B32"/>
    <w:rsid w:val="00167FC8"/>
    <w:rsid w:val="00197510"/>
    <w:rsid w:val="001A266F"/>
    <w:rsid w:val="001B7960"/>
    <w:rsid w:val="001C1E11"/>
    <w:rsid w:val="0022722C"/>
    <w:rsid w:val="0028545A"/>
    <w:rsid w:val="002A2078"/>
    <w:rsid w:val="002C0746"/>
    <w:rsid w:val="002E1CE6"/>
    <w:rsid w:val="002F2D22"/>
    <w:rsid w:val="0032423A"/>
    <w:rsid w:val="00326091"/>
    <w:rsid w:val="00357643"/>
    <w:rsid w:val="00371634"/>
    <w:rsid w:val="00386E9C"/>
    <w:rsid w:val="00393964"/>
    <w:rsid w:val="003A3184"/>
    <w:rsid w:val="003A3E41"/>
    <w:rsid w:val="003A3FA8"/>
    <w:rsid w:val="003B63B0"/>
    <w:rsid w:val="003F017B"/>
    <w:rsid w:val="003F11B6"/>
    <w:rsid w:val="003F17B8"/>
    <w:rsid w:val="003F43C4"/>
    <w:rsid w:val="0040435F"/>
    <w:rsid w:val="00404AA7"/>
    <w:rsid w:val="00453362"/>
    <w:rsid w:val="00461219"/>
    <w:rsid w:val="004612DF"/>
    <w:rsid w:val="00470F6D"/>
    <w:rsid w:val="00477B1C"/>
    <w:rsid w:val="0048382B"/>
    <w:rsid w:val="00483BC3"/>
    <w:rsid w:val="004923F4"/>
    <w:rsid w:val="004A1DF0"/>
    <w:rsid w:val="004B553E"/>
    <w:rsid w:val="004B69BD"/>
    <w:rsid w:val="004D2E97"/>
    <w:rsid w:val="004D4DAD"/>
    <w:rsid w:val="004F699F"/>
    <w:rsid w:val="005152F9"/>
    <w:rsid w:val="005353ED"/>
    <w:rsid w:val="00545C26"/>
    <w:rsid w:val="005514C3"/>
    <w:rsid w:val="005707A3"/>
    <w:rsid w:val="005A3798"/>
    <w:rsid w:val="005D3518"/>
    <w:rsid w:val="005D4DF8"/>
    <w:rsid w:val="005E0C9E"/>
    <w:rsid w:val="005E1668"/>
    <w:rsid w:val="005F6E0B"/>
    <w:rsid w:val="00600325"/>
    <w:rsid w:val="0062328F"/>
    <w:rsid w:val="00632D29"/>
    <w:rsid w:val="00684BBC"/>
    <w:rsid w:val="00696B70"/>
    <w:rsid w:val="006B4920"/>
    <w:rsid w:val="006C4166"/>
    <w:rsid w:val="00700D7A"/>
    <w:rsid w:val="007361E7"/>
    <w:rsid w:val="007368EB"/>
    <w:rsid w:val="007578EF"/>
    <w:rsid w:val="0076157D"/>
    <w:rsid w:val="00765461"/>
    <w:rsid w:val="0078125F"/>
    <w:rsid w:val="00785CAA"/>
    <w:rsid w:val="00794496"/>
    <w:rsid w:val="007967CC"/>
    <w:rsid w:val="0079745E"/>
    <w:rsid w:val="00797B40"/>
    <w:rsid w:val="007C43A4"/>
    <w:rsid w:val="007D4D2D"/>
    <w:rsid w:val="007F73EF"/>
    <w:rsid w:val="0080759E"/>
    <w:rsid w:val="00823D50"/>
    <w:rsid w:val="008379F7"/>
    <w:rsid w:val="00865776"/>
    <w:rsid w:val="00874D5D"/>
    <w:rsid w:val="00891C60"/>
    <w:rsid w:val="008926D7"/>
    <w:rsid w:val="008942F0"/>
    <w:rsid w:val="008A3541"/>
    <w:rsid w:val="008D45DB"/>
    <w:rsid w:val="0090214F"/>
    <w:rsid w:val="009163E6"/>
    <w:rsid w:val="00940947"/>
    <w:rsid w:val="00940E34"/>
    <w:rsid w:val="009760E8"/>
    <w:rsid w:val="009947BA"/>
    <w:rsid w:val="00997F41"/>
    <w:rsid w:val="009A284F"/>
    <w:rsid w:val="009C56B1"/>
    <w:rsid w:val="009C7C0C"/>
    <w:rsid w:val="009D09E4"/>
    <w:rsid w:val="009D3AA7"/>
    <w:rsid w:val="009D5226"/>
    <w:rsid w:val="009E2FD4"/>
    <w:rsid w:val="00A16E0D"/>
    <w:rsid w:val="00A45C53"/>
    <w:rsid w:val="00A8196F"/>
    <w:rsid w:val="00A84560"/>
    <w:rsid w:val="00A9132B"/>
    <w:rsid w:val="00AA1A5A"/>
    <w:rsid w:val="00AB2536"/>
    <w:rsid w:val="00AC51AC"/>
    <w:rsid w:val="00AD047D"/>
    <w:rsid w:val="00AD23FB"/>
    <w:rsid w:val="00AF3B47"/>
    <w:rsid w:val="00B10EB0"/>
    <w:rsid w:val="00B4202A"/>
    <w:rsid w:val="00B612F8"/>
    <w:rsid w:val="00B62519"/>
    <w:rsid w:val="00B71A57"/>
    <w:rsid w:val="00B7307A"/>
    <w:rsid w:val="00BE54CA"/>
    <w:rsid w:val="00BF3BB3"/>
    <w:rsid w:val="00BF47B3"/>
    <w:rsid w:val="00C02454"/>
    <w:rsid w:val="00C3477B"/>
    <w:rsid w:val="00C43C8B"/>
    <w:rsid w:val="00C85956"/>
    <w:rsid w:val="00C90E25"/>
    <w:rsid w:val="00C9733D"/>
    <w:rsid w:val="00CA3783"/>
    <w:rsid w:val="00CA731E"/>
    <w:rsid w:val="00CB23F4"/>
    <w:rsid w:val="00CF5EFB"/>
    <w:rsid w:val="00D136E4"/>
    <w:rsid w:val="00D4180D"/>
    <w:rsid w:val="00D437E6"/>
    <w:rsid w:val="00D524D1"/>
    <w:rsid w:val="00D5334D"/>
    <w:rsid w:val="00D5523D"/>
    <w:rsid w:val="00D61F67"/>
    <w:rsid w:val="00D944DF"/>
    <w:rsid w:val="00DB7F8E"/>
    <w:rsid w:val="00DC39A0"/>
    <w:rsid w:val="00DC7F23"/>
    <w:rsid w:val="00DD110C"/>
    <w:rsid w:val="00DE6D53"/>
    <w:rsid w:val="00E06E39"/>
    <w:rsid w:val="00E07D73"/>
    <w:rsid w:val="00E17D18"/>
    <w:rsid w:val="00E2589F"/>
    <w:rsid w:val="00E30E67"/>
    <w:rsid w:val="00E31BFD"/>
    <w:rsid w:val="00EC2E9B"/>
    <w:rsid w:val="00ED5B7C"/>
    <w:rsid w:val="00EF0CF6"/>
    <w:rsid w:val="00F005FF"/>
    <w:rsid w:val="00F02A8F"/>
    <w:rsid w:val="00F10A75"/>
    <w:rsid w:val="00F231E0"/>
    <w:rsid w:val="00F3755A"/>
    <w:rsid w:val="00F41A79"/>
    <w:rsid w:val="00F436FE"/>
    <w:rsid w:val="00F513E0"/>
    <w:rsid w:val="00F566DA"/>
    <w:rsid w:val="00F8391D"/>
    <w:rsid w:val="00F84F5E"/>
    <w:rsid w:val="00F96EC3"/>
    <w:rsid w:val="00FC11C6"/>
    <w:rsid w:val="00FC2198"/>
    <w:rsid w:val="00FC283E"/>
    <w:rsid w:val="00FC71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95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29F-CFF4-4EA4-BAE9-406BE48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9</cp:revision>
  <dcterms:created xsi:type="dcterms:W3CDTF">2020-10-05T12:57:00Z</dcterms:created>
  <dcterms:modified xsi:type="dcterms:W3CDTF">2022-09-25T16:16:00Z</dcterms:modified>
</cp:coreProperties>
</file>