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123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283C0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35F84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782F1B8" w14:textId="77777777" w:rsidR="004B553E" w:rsidRPr="004923F4" w:rsidRDefault="000D649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Dezintegracija realizma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7FFA9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9BCFEB2" w14:textId="3D610FA2" w:rsidR="004B553E" w:rsidRPr="004923F4" w:rsidRDefault="00D12C6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176A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D176A8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B8C4D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8E967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02EA800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8EFC2E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149C30" w14:textId="77777777" w:rsidR="004B553E" w:rsidRPr="004923F4" w:rsidRDefault="009D1B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1771FC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64390E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CEDBCD5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79D68C6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F7C67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E8513C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2557A23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43B6251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537697C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B5A558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D4CA1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C58E43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936E28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99C12E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38E0FE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C0588B5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D2F107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900AB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7F7CCD1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87972E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3AB175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4B6BAB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12680F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37AD46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198C6E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D12916A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C6143B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A704DE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16A53A4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7178C8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D77CC2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7DEA55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8C307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A33314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8F77EE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9CBA68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4C1522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7788CD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6BFC73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64A117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02EEEF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2CD8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E75676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90C279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258AC6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EDA69E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C1E444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2BE02E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92BEB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FAB60C6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4CAC742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EF0EF69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C1D508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BA84762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21C72E6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14B066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6422623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FD791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81366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E0FC309" w14:textId="77777777" w:rsidR="009A284F" w:rsidRDefault="00873B8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BA190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75EAC1D" w14:textId="77777777"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14:paraId="730DE52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1BA67F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7CF3DFC" w14:textId="250DF3FB" w:rsidR="009A284F" w:rsidRDefault="005D64F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7C54F0">
              <w:rPr>
                <w:rFonts w:ascii="Times New Roman" w:hAnsi="Times New Roman" w:cs="Times New Roman"/>
                <w:sz w:val="18"/>
              </w:rPr>
              <w:t>. 10.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767528" w:rsidRPr="0076752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89E37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8E7E375" w14:textId="60F2485D" w:rsidR="009A284F" w:rsidRDefault="008B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20E05">
              <w:rPr>
                <w:rFonts w:ascii="Times New Roman" w:hAnsi="Times New Roman" w:cs="Times New Roman"/>
                <w:sz w:val="18"/>
              </w:rPr>
              <w:t>6</w:t>
            </w:r>
            <w:r w:rsidR="00851E00">
              <w:rPr>
                <w:rFonts w:ascii="Times New Roman" w:hAnsi="Times New Roman" w:cs="Times New Roman"/>
                <w:sz w:val="18"/>
              </w:rPr>
              <w:t>. 1. 202</w:t>
            </w:r>
            <w:r w:rsidR="00F20E05">
              <w:rPr>
                <w:rFonts w:ascii="Times New Roman" w:hAnsi="Times New Roman" w:cs="Times New Roman"/>
                <w:sz w:val="18"/>
              </w:rPr>
              <w:t>3</w:t>
            </w:r>
            <w:r w:rsidR="00DC4A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22A04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1E02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54A65A3" w14:textId="77777777"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>
              <w:rPr>
                <w:rFonts w:ascii="Times New Roman" w:hAnsi="Times New Roman" w:cs="Times New Roman"/>
                <w:i/>
                <w:sz w:val="18"/>
              </w:rPr>
              <w:t>Visoki realizam</w:t>
            </w:r>
          </w:p>
        </w:tc>
      </w:tr>
      <w:tr w:rsidR="009A284F" w:rsidRPr="009947BA" w14:paraId="45EBA82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0EFADCF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89B38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9EC4B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1EDBDE7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1E24BF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E21A9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E228FDC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EF5BA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4035019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4C98C6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E0CFD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591FCB8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5F8E1C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FAB14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6FBD24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8B811C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88FCBE7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37771A3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9D5505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0A8AA4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F36050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66ABA5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77BD12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413C9C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631378E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92D0F1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01917D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99B6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0B2DB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4E57EE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341367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7D3139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7A3C06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244F2F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DB5816F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733345F" w14:textId="77777777"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4077D5">
              <w:rPr>
                <w:rFonts w:ascii="Times New Roman" w:hAnsi="Times New Roman" w:cs="Times New Roman"/>
                <w:sz w:val="18"/>
              </w:rPr>
              <w:t>efinirati neformativna postrealističarska kretanja u ruskoj književnosti kr</w:t>
            </w:r>
            <w:r>
              <w:rPr>
                <w:rFonts w:ascii="Times New Roman" w:hAnsi="Times New Roman" w:cs="Times New Roman"/>
                <w:sz w:val="18"/>
              </w:rPr>
              <w:t>aja 19. i početka 20. stoljeća;</w:t>
            </w:r>
          </w:p>
          <w:p w14:paraId="626D116D" w14:textId="77777777"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društveno-povijesni kontekst toga razdobl</w:t>
            </w:r>
            <w:r>
              <w:rPr>
                <w:rFonts w:ascii="Times New Roman" w:hAnsi="Times New Roman" w:cs="Times New Roman"/>
                <w:sz w:val="18"/>
              </w:rPr>
              <w:t>ja u Zapadnoj Europi i u Rusiji;</w:t>
            </w:r>
          </w:p>
          <w:p w14:paraId="0D42788A" w14:textId="77777777" w:rsidR="00006098" w:rsidRDefault="004077D5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povijest ruskog kazališta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A16F5DD" w14:textId="77777777" w:rsidR="004077D5" w:rsidRPr="00006098" w:rsidRDefault="00006098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>lanirati nacrt znanstvenoga rada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DE2EDCF" w14:textId="77777777"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azraditi i argumentirati odabranu temu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CA05D3" w14:textId="77777777"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azlikovati akademske pisane izvore od neakademskih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24E5196" w14:textId="77777777"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rimijeniti zadani sustav citiranja i navođenja literature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319CAA7B" w14:textId="77777777" w:rsidR="00785CAA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ritički analizirati odabrane tekstove kroz različite pristupe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5F9F4A8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A2AF0F7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C6ADC6B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1A96C08D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465A63C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6AA70A6F" w14:textId="77777777"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5483ED5" w14:textId="77777777"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Opisati rusku povijest i kulturu.</w:t>
            </w:r>
          </w:p>
        </w:tc>
      </w:tr>
      <w:tr w:rsidR="009A284F" w:rsidRPr="009947BA" w14:paraId="5ABD3AD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CFB96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E3D1EBE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886A1D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FFCAD1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895DB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FDC1F5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AAA8CB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BE43E7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15D34B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9D12BC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883E9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DD5F88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4AC2C6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C316CA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2108D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B428A2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FBB253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8EC02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46ECC4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9A04C8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5A5F8B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67657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B9AF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896BAE7" w14:textId="77777777" w:rsidR="00D266FB" w:rsidRPr="00D266FB" w:rsidRDefault="00D266FB" w:rsidP="00D266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  <w:p w14:paraId="198CE4F8" w14:textId="616C73D4" w:rsidR="009A284F" w:rsidRDefault="00F55B1D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D266FB">
              <w:rPr>
                <w:rFonts w:ascii="Times New Roman" w:hAnsi="Times New Roman" w:cs="Times New Roman"/>
                <w:sz w:val="18"/>
              </w:rPr>
              <w:t>predaja sinopsisa seminarskog rada u</w:t>
            </w:r>
            <w:r w:rsidR="00D266FB" w:rsidRPr="00D266FB">
              <w:rPr>
                <w:rFonts w:ascii="Times New Roman" w:hAnsi="Times New Roman" w:cs="Times New Roman"/>
                <w:sz w:val="18"/>
              </w:rPr>
              <w:t xml:space="preserve"> propisanom roku </w:t>
            </w:r>
            <w:r w:rsidR="00872E4B">
              <w:rPr>
                <w:rFonts w:ascii="Times New Roman" w:hAnsi="Times New Roman" w:cs="Times New Roman"/>
                <w:sz w:val="18"/>
              </w:rPr>
              <w:t>(2</w:t>
            </w:r>
            <w:r w:rsidR="00BC0151">
              <w:rPr>
                <w:rFonts w:ascii="Times New Roman" w:hAnsi="Times New Roman" w:cs="Times New Roman"/>
                <w:sz w:val="18"/>
              </w:rPr>
              <w:t>8</w:t>
            </w:r>
            <w:r w:rsidR="00E602A9">
              <w:rPr>
                <w:rFonts w:ascii="Times New Roman" w:hAnsi="Times New Roman" w:cs="Times New Roman"/>
                <w:sz w:val="18"/>
              </w:rPr>
              <w:t>. 11. 202</w:t>
            </w:r>
            <w:r w:rsidR="00106AB3">
              <w:rPr>
                <w:rFonts w:ascii="Times New Roman" w:hAnsi="Times New Roman" w:cs="Times New Roman"/>
                <w:sz w:val="18"/>
              </w:rPr>
              <w:t>1</w:t>
            </w:r>
            <w:r w:rsidR="00872E4B">
              <w:rPr>
                <w:rFonts w:ascii="Times New Roman" w:hAnsi="Times New Roman" w:cs="Times New Roman"/>
                <w:sz w:val="18"/>
              </w:rPr>
              <w:t>.)</w:t>
            </w:r>
          </w:p>
          <w:p w14:paraId="4D38C8A6" w14:textId="1A822C17" w:rsidR="00C85412" w:rsidRPr="00D266FB" w:rsidRDefault="00C85412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predaja seminarskog rada u propisanom roku</w:t>
            </w:r>
            <w:r w:rsidR="002A27B4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33415D">
              <w:rPr>
                <w:rFonts w:ascii="Times New Roman" w:hAnsi="Times New Roman" w:cs="Times New Roman"/>
                <w:sz w:val="18"/>
              </w:rPr>
              <w:t>30</w:t>
            </w:r>
            <w:r w:rsidR="002A27B4">
              <w:rPr>
                <w:rFonts w:ascii="Times New Roman" w:hAnsi="Times New Roman" w:cs="Times New Roman"/>
                <w:sz w:val="18"/>
              </w:rPr>
              <w:t>. 1. 202</w:t>
            </w:r>
            <w:r w:rsidR="00106AB3">
              <w:rPr>
                <w:rFonts w:ascii="Times New Roman" w:hAnsi="Times New Roman" w:cs="Times New Roman"/>
                <w:sz w:val="18"/>
              </w:rPr>
              <w:t>2</w:t>
            </w:r>
            <w:r w:rsidR="00AF2817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="009A284F" w:rsidRPr="009947BA" w14:paraId="74742F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1628D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E2941E7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FD2228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B84105A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0D809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3ED8B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0C1AFB" w14:textId="77777777" w:rsidR="009A284F" w:rsidRDefault="0068392C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14:paraId="0173BB6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FE8CB9C" w14:textId="77777777" w:rsidR="009A284F" w:rsidRDefault="0068392C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1BFB0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E4B8B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38E6B17" w14:textId="77777777" w:rsidR="009A284F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>Dezintegracija realizma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14:paraId="69AF36E2" w14:textId="77777777"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M1 Drama </w:t>
            </w:r>
          </w:p>
          <w:p w14:paraId="01D95AAA" w14:textId="77777777" w:rsid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 xml:space="preserve">Pored stjecanja znanja o kontekstu i autorima te povijesti ruskog kazališta i ruske drame, fokus ove cjeline je analiza odabranih dramskih tekstova kroz različite pristupe. Zaseban vid pristupa nekim od naslova bit će filmske projekcije nakon kojih će slijediti rasprava o adaptaciji književnog predloška u filmski medij. </w:t>
            </w:r>
          </w:p>
          <w:p w14:paraId="0A77E814" w14:textId="77777777"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M2 Proza </w:t>
            </w:r>
          </w:p>
          <w:p w14:paraId="350F0336" w14:textId="77777777" w:rsidR="00C45D98" w:rsidRPr="009947BA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>Pored stjecanja znanja o kontekstu i autorima, fokus ove cjeline je analiza odabranih proznih tekstova kroz različite pristupe, osobito kroz pomno čitanje i dijalog s tradicionalnijim pristupima. Zaseban vid pristupa nekim od naslova bit će filmske projekcije nakon kojih će slijediti rasprava o adaptaciji književnog predloška u filmski medij.</w:t>
            </w:r>
          </w:p>
        </w:tc>
      </w:tr>
      <w:tr w:rsidR="009A284F" w:rsidRPr="009947BA" w14:paraId="72FED8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FE8C0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B4E83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UVODNO PREDAVANJE. Predstavljanje kolegija i literature. Upoznavanje s obvezama i načinima rada. Upute za pisanje seminarskog rada. Dezintegracija realizma. Društveno-pov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 xml:space="preserve">ijesni kontekst.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Autori i autorice razdoblja. A. P. Čehov. Čehov i kritika</w:t>
            </w:r>
          </w:p>
          <w:p w14:paraId="1E13F7F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A. P. ČEHOV „ČAJKA“. Rusko kazalište. Opće karakteristike dramskog stvaralaštva A. P. Čehova. MHAT, K. S. Stanislavski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 xml:space="preserve"> i V. I. Nemirovič-Dančenko. Analiza dramskoga teksta.</w:t>
            </w:r>
          </w:p>
          <w:p w14:paraId="7F1CDC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Analiza dramskoga teksta. Staro vs. novo. Simbol, cikličnost.</w:t>
            </w:r>
          </w:p>
          <w:p w14:paraId="114AD52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Projekcija igranoga filma. Rasprava o adaptaciji</w:t>
            </w:r>
            <w:r w:rsidR="0019767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E020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Analiza dramskoga teksta. Nostalgija.</w:t>
            </w:r>
          </w:p>
          <w:p w14:paraId="773FEEA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Projekcija igranoga filma. Rasprava o adaptaciji.</w:t>
            </w:r>
          </w:p>
          <w:p w14:paraId="6AB2C05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„VIŠNEVYJ SAD“. Analiza dramskoga teksta. Staro vs. novo. Tekst i kontekst. Infantilnost.</w:t>
            </w:r>
          </w:p>
          <w:p w14:paraId="668A0E2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„NEVESTA“. Opće karakteristike stvaralaštva A. P. Čehova (otuđenost, pomanjkanje socijalno-analitičke dimenzije, ugođaj, stil rečenice, opisi prirode i interijera, melodioznost). Inovativnost. Analiza pripovijetke po općim karakteristikama Čehovljeva proznog stvaralaštva. Anali</w:t>
            </w:r>
            <w:r w:rsidR="00315622">
              <w:rPr>
                <w:rFonts w:ascii="Times New Roman" w:eastAsia="MS Gothic" w:hAnsi="Times New Roman" w:cs="Times New Roman"/>
                <w:sz w:val="18"/>
              </w:rPr>
              <w:t xml:space="preserve">za pripovijetke kroz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pomno čitanje. Kompozicija, karakterizacija, pripovjedač. Ekonomičnost forme, tekstualni signali i evolucija karaktera.</w:t>
            </w:r>
          </w:p>
          <w:p w14:paraId="594D65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A. P. ČEHOV „DAMA S SOBAČKOJ“. Analiza pripovijetke prema općim karakteristikama Čehovljeva proznog stvaralaštva. Analiza pripovijetke kroz pomno čitanje. Ekonomičnost forme, tekstualni signali, zrcalnost i evolucija karaktera. Projekcija igranoga filma i rasprava o ekranizaciji.</w:t>
            </w:r>
          </w:p>
          <w:p w14:paraId="094C0FB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N. S. LESKOV „LEDI MAKBET MCENSKOGO UEZDA“. Opće karakteristike stvaralaštva N. S. Leskova. Analiza pripovijetke. Skaz. Projekcija filma i rasprava o adaptaciji.</w:t>
            </w:r>
          </w:p>
          <w:p w14:paraId="46029D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L. N. ANDREEV „RASSKAZ O SEMI POVEŠENNYH“. Opće karakteristike stvaralaštva L. N. Andreeva. Andreev i kritika. Analiza pripovijetke.</w:t>
            </w:r>
          </w:p>
          <w:p w14:paraId="6D639A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A. I. KUPRIN „OLESJA“. A. I. Kuprin i njegovo stvaralaštvo. Kuprin i kritika. Analiza pripovijetke. Projekcija igranoga filma i rasprava o ekranizaciji.</w:t>
            </w:r>
          </w:p>
          <w:p w14:paraId="212028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V. M. GARŠIN „ČETYRE DNJA“, „KRASNYJ CVETOK“. Opće karakteristike stvaralaštva V. M. Garšina. Garšin i kritika. Analiza pripovijetki.</w:t>
            </w:r>
          </w:p>
          <w:p w14:paraId="69B77A7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MAKSIM GOR'KIJ „DVADCAT' ŠEST' I ODNA“. Maksim Gor'kij. Opće karakteristike stvaralaštva Maksima Gor'koga. Gor'kij i društveno-povijesni kontekst. Kritika i Gor'kij. Analiza pripovijetke. Projekcija igranoga filma i rasprava o ekranizaciji.</w:t>
            </w:r>
          </w:p>
          <w:p w14:paraId="3EE2660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I. A. BUNIN „GOSPODIN IZ SAN-FRANCISKO“. I. A. Bunin i opće karakteristike njegova stvaralaštva. Bunin i kritika. Analiza pripovijetke.</w:t>
            </w:r>
          </w:p>
          <w:p w14:paraId="0E6FD303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70E04C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CD521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0D2A282" w14:textId="77777777"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Andreev, L. N. „Rasskaz o semi povešennyh“.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 sočinenij v šesti tomah. Tom tretij. Rasskazy; P'esy. 1908-1910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48-112.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BB11584" w14:textId="77777777"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Bunin, I. A. „Gospodin iz San-Francisko“.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Internet-biblioteka Alekseja Komarova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3933CF2" w14:textId="77777777"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Čehov, A. P. „Čajka. Komedija v četyreh dejstvijah.“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Internet-biblioteka Alekseja Komarova</w:t>
            </w:r>
            <w:r w:rsidR="0079199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2960182" w14:textId="77777777"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„Dama s sobačkoj“.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F24A30">
              <w:rPr>
                <w:rFonts w:ascii="Times New Roman" w:eastAsia="MS Gothic" w:hAnsi="Times New Roman" w:cs="Times New Roman"/>
                <w:i/>
                <w:sz w:val="18"/>
              </w:rPr>
              <w:t>Internet-biblioteka Alekse</w:t>
            </w:r>
            <w:r w:rsidR="0079199B" w:rsidRPr="00F24A30">
              <w:rPr>
                <w:rFonts w:ascii="Times New Roman" w:eastAsia="MS Gothic" w:hAnsi="Times New Roman" w:cs="Times New Roman"/>
                <w:i/>
                <w:sz w:val="18"/>
              </w:rPr>
              <w:t>ja Komarova</w:t>
            </w:r>
            <w:r w:rsidR="0079199B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FC499C9" w14:textId="77777777" w:rsidR="00C8264C" w:rsidRDefault="00CF66E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---. „Djadja Vanja.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Sceny iz derevenskoj žizni v četyreh dejstvijah“. </w:t>
            </w:r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C8264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44CB1BF" w14:textId="77777777"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„Nevesta“.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C8264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D4BE4CB" w14:textId="77777777" w:rsidR="00C8264C" w:rsidRDefault="00C31F65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---. „Tri sestry,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Drama v četyreh dejstvijah“. </w:t>
            </w:r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AC0634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AC0634" w:rsidRPr="00AC0634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AC063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3953BFB" w14:textId="77777777"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„Višnevyj sad. Komedija v četyreh dejstvijah“.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345646" w:rsidRPr="002D0B1F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3456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F2AC5F4" w14:textId="77777777"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Garšin, V. M. „Četyre dnja“.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Gosudarstvennoe izdatel'stvo hudožestvennoj literatury, 1960.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2D0B1F" w:rsidRPr="00C225D3">
              <w:rPr>
                <w:rFonts w:ascii="Times New Roman" w:eastAsia="MS Gothic" w:hAnsi="Times New Roman" w:cs="Times New Roman"/>
                <w:i/>
                <w:sz w:val="18"/>
              </w:rPr>
              <w:t>u/Klassika</w:t>
            </w:r>
            <w:r w:rsidR="002D0B1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6F8FD35" w14:textId="77777777" w:rsidR="00C225D3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„Krasnyj cvetok“.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C225D3" w:rsidRPr="00C225D3">
              <w:rPr>
                <w:rFonts w:ascii="Times New Roman" w:eastAsia="MS Gothic" w:hAnsi="Times New Roman" w:cs="Times New Roman"/>
                <w:i/>
                <w:sz w:val="18"/>
              </w:rPr>
              <w:t>u/Klassika</w:t>
            </w:r>
            <w:r w:rsidR="00C225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9168C62" w14:textId="77777777"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Gor'kij, M. „Dvadcat' šest' i odna“.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Rasskazy. Očerki. Vospominanija. P'esi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Hudožestvennaja literatura, 1975.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0A11A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11452F0" w14:textId="77777777"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Kuprin, A. I. „Olesja“.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Sobranie sočinenij v 6 t. Tom 2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Goslitizdat, 1957.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0A11A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BE71AA" w14:textId="77777777" w:rsidR="0082340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Leskov, N. S. „Ledi Makbet Mcenskogo uezda“. </w:t>
            </w:r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Sobranie sočinenij v 11- ti tomah. Tom 1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Goslitizdat, 1956. </w:t>
            </w:r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Internet-biblioteka Alekseja Komarova</w:t>
            </w:r>
            <w:r w:rsidR="0082340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C1B749A" w14:textId="77777777" w:rsidR="0082340F" w:rsidRDefault="0082340F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  <w:p w14:paraId="54551CB9" w14:textId="77777777" w:rsidR="009A284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* Studenti/ice obavezno trebaju pročitati drame „Galeb“ („Čajka“), „Ujak Vanja“ („Djadja Vanja“), „Tri sestre“ („Tri sestry“) i „Višnjik“ („Višnevyj sad“) A. P. Čehova, te pripovijetke „Zaručnica“ („Nevesta“) i „Dama s psićem“ („Dama s sobačkoj“) A. P. Čehova, „Lady Macbeth Mcenskog okruga“ („Ledi Makbet Mcenskogo uezda“) N. S. Leskova, „Priču o sedmero obješenih“ („Rasskaz o semi povešennyh“) L. N. Andreeva, „Olesja“ („Olesja“) A. I. Kuprina, „Četiri dana“ („Četyre dnja“) i „Crveni cvijet“ („Krasnyj cvetok“) V. M. Garšina, „Dvadeset šestorica i jedna“ („Dvadcat' šest' i odna“) Maksima Gor'koga i „Gospodin iz San Francisca“ („Gospodin iz San-Francisko“) I. A. Bunina. Prethodno navedena izdanja služe isključivo kao primjer.</w:t>
            </w:r>
          </w:p>
          <w:p w14:paraId="603BCACF" w14:textId="77777777" w:rsidR="006758B6" w:rsidRPr="009947BA" w:rsidRDefault="006758B6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3FD7A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EC5A2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14A86D1" w14:textId="77777777" w:rsidR="009A284F" w:rsidRDefault="00D5236D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Bašović, Almir. </w:t>
            </w:r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>Čehov i prostor: struktura dramskog prostora u Čehovljevim dramama kao koncentrirani izraz dramske strukture</w:t>
            </w:r>
            <w:r w:rsidRPr="00D5236D">
              <w:rPr>
                <w:rFonts w:ascii="Times New Roman" w:eastAsia="MS Gothic" w:hAnsi="Times New Roman" w:cs="Times New Roman"/>
                <w:sz w:val="18"/>
              </w:rPr>
              <w:t>. Novi Sad: Sterijino pozorje, 2008.</w:t>
            </w:r>
          </w:p>
          <w:p w14:paraId="5322F02B" w14:textId="77777777"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Borny, Geoffrey.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Interpreting Chekhov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Canberra: ANU E Press, 2006. </w:t>
            </w:r>
          </w:p>
          <w:p w14:paraId="7E647F5A" w14:textId="77777777"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Boym, Svetlana.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Common Places: Mythologies of Everyday Life in Russia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Cambridge – London: Harvard UP, 1995. </w:t>
            </w:r>
          </w:p>
          <w:p w14:paraId="7076A8D0" w14:textId="77777777"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The Future of Nostalgia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>. New York: Basic Books, 2001.</w:t>
            </w:r>
          </w:p>
          <w:p w14:paraId="13371CFD" w14:textId="77777777"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>Carver, Raymond. „Errand“. Collected Stories. New York: Library of America, 2009. 614-625.</w:t>
            </w:r>
          </w:p>
          <w:p w14:paraId="445FDF44" w14:textId="77777777"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Čudakov, A. P. </w:t>
            </w:r>
            <w:r w:rsidRPr="00F87BFA">
              <w:rPr>
                <w:rFonts w:ascii="Times New Roman" w:eastAsia="MS Gothic" w:hAnsi="Times New Roman" w:cs="Times New Roman"/>
                <w:i/>
                <w:sz w:val="18"/>
              </w:rPr>
              <w:t>Poètika Čehova</w:t>
            </w:r>
            <w:r w:rsidRPr="00F87BFA">
              <w:rPr>
                <w:rFonts w:ascii="Times New Roman" w:eastAsia="MS Gothic" w:hAnsi="Times New Roman" w:cs="Times New Roman"/>
                <w:sz w:val="18"/>
              </w:rPr>
              <w:t>. Moskva: Nauka, 1971.</w:t>
            </w:r>
          </w:p>
          <w:p w14:paraId="2D0506E0" w14:textId="77777777" w:rsidR="00D5236D" w:rsidRDefault="00CC24F0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24F0">
              <w:rPr>
                <w:rFonts w:ascii="Times New Roman" w:eastAsia="MS Gothic" w:hAnsi="Times New Roman" w:cs="Times New Roman"/>
                <w:sz w:val="18"/>
              </w:rPr>
              <w:t>Èjhenbaum, B. M. „Leskov i sovre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mennaja proza“. </w:t>
            </w:r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>O literature: raboty raznyh let</w:t>
            </w:r>
            <w:r w:rsidRPr="00CC24F0">
              <w:rPr>
                <w:rFonts w:ascii="Times New Roman" w:eastAsia="MS Gothic" w:hAnsi="Times New Roman" w:cs="Times New Roman"/>
                <w:sz w:val="18"/>
              </w:rPr>
              <w:t>. Moskva: Sovetskij pisatel', 1987.</w:t>
            </w:r>
          </w:p>
          <w:p w14:paraId="34E58AAE" w14:textId="77777777" w:rsidR="00CC24F0" w:rsidRDefault="00FB5DC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Gilman, Richard.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Chekhov's Plays: An Opening into Eternity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. New </w:t>
            </w:r>
            <w:r w:rsidR="001146E4">
              <w:rPr>
                <w:rFonts w:ascii="Times New Roman" w:eastAsia="MS Gothic" w:hAnsi="Times New Roman" w:cs="Times New Roman"/>
                <w:sz w:val="18"/>
              </w:rPr>
              <w:t>Haven &amp; London: Yale U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P, 1995.</w:t>
            </w:r>
          </w:p>
          <w:p w14:paraId="6505FDBD" w14:textId="77777777" w:rsidR="00FB5DCA" w:rsidRDefault="001146E4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146E4">
              <w:rPr>
                <w:rFonts w:ascii="Times New Roman" w:eastAsia="MS Gothic" w:hAnsi="Times New Roman" w:cs="Times New Roman"/>
                <w:sz w:val="18"/>
              </w:rPr>
              <w:t>Gottlieb, Vera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Paul Allain (ur.). </w:t>
            </w:r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The Cambridge Companion to Chekhov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2B6856">
              <w:rPr>
                <w:rFonts w:ascii="Times New Roman" w:eastAsia="MS Gothic" w:hAnsi="Times New Roman" w:cs="Times New Roman"/>
                <w:sz w:val="18"/>
              </w:rPr>
              <w:t>Cambridge: Cambridge U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>P, 2008.</w:t>
            </w:r>
          </w:p>
          <w:p w14:paraId="31E43545" w14:textId="77777777"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Hristić, Jovan. Čehov, dramski pisac. Beograd: Nolit, 1981. </w:t>
            </w:r>
          </w:p>
          <w:p w14:paraId="1ADC6A57" w14:textId="77777777"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Karlinsky, Simon. „Introduction: The Gentle Subversive“. </w:t>
            </w:r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Anton Chekhov's Life and Thoughts: Selected Letters and Commentary</w:t>
            </w: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Prev. Michael Henry Heim &amp; Simon Karlinsky. Evanston: Northwestern UP, 1999. 1-32. </w:t>
            </w:r>
          </w:p>
          <w:p w14:paraId="14E85005" w14:textId="77777777"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Kataev, Vladimir. </w:t>
            </w:r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If Only We Could Know: An Interpretation of Chekhov</w:t>
            </w:r>
            <w:r w:rsidRPr="005A6E38">
              <w:rPr>
                <w:rFonts w:ascii="Times New Roman" w:eastAsia="MS Gothic" w:hAnsi="Times New Roman" w:cs="Times New Roman"/>
                <w:sz w:val="18"/>
              </w:rPr>
              <w:t>. Prev. i ur. Harvey Pitcher. Chicago: Ivan R. Dee, 2002</w:t>
            </w:r>
          </w:p>
          <w:p w14:paraId="2F527D13" w14:textId="77777777" w:rsidR="005A6E38" w:rsidRDefault="008C2C80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8C2C80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Prev. Milka Car i Dubravka Zima. 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>Zagreb: Golden Marketing, 2009.</w:t>
            </w:r>
          </w:p>
          <w:p w14:paraId="0A9510A8" w14:textId="77777777" w:rsidR="00CA4B93" w:rsidRPr="00CA4B93" w:rsidRDefault="00CA4B93" w:rsidP="00CA4B93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Merežkovskij, D. S. „Čehov i Gor'kij“. </w:t>
            </w:r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Èstetika i kritika: V 2 t. T. 1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>. Moskva: Iskusstvo; Har'kov: SP „Folio“, 1994. 620-630, 647-670.</w:t>
            </w:r>
          </w:p>
          <w:p w14:paraId="13ACACD7" w14:textId="77777777" w:rsidR="00CA4B93" w:rsidRDefault="00CA4B93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Lekcii po russkoj literature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>. Moskva: Izdatel'stvo „Nezavisimaja gazeta“, 1999.</w:t>
            </w:r>
          </w:p>
          <w:p w14:paraId="626F633C" w14:textId="77777777" w:rsidR="00D80A45" w:rsidRDefault="00D80A45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Pitcher, Harvey. </w:t>
            </w:r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The Chekhov Play: A New Interpretation</w:t>
            </w:r>
            <w:r w:rsidRPr="00D80A45">
              <w:rPr>
                <w:rFonts w:ascii="Times New Roman" w:eastAsia="MS Gothic" w:hAnsi="Times New Roman" w:cs="Times New Roman"/>
                <w:sz w:val="18"/>
              </w:rPr>
              <w:t>. Berkley: University of California Press, 1985.</w:t>
            </w:r>
          </w:p>
          <w:p w14:paraId="663ED84D" w14:textId="77777777"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Rayfield, Donald. </w:t>
            </w:r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Anton Chekhov: A Life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Evanston: Northwestern University Press, 1997. </w:t>
            </w:r>
          </w:p>
          <w:p w14:paraId="13FCE435" w14:textId="77777777"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Understanding Chekhov: A Critical Study of Chekhov's Prose and Drama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>. Wisconsin: University of Wisconsin Press, 1999.</w:t>
            </w:r>
          </w:p>
          <w:p w14:paraId="67CB7DBF" w14:textId="77777777" w:rsidR="00F00EF9" w:rsidRDefault="00F00EF9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Stepanov, A. D. </w:t>
            </w:r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>Problemy kommunikacii u Čehova</w:t>
            </w:r>
            <w:r w:rsidRPr="00F00EF9">
              <w:rPr>
                <w:rFonts w:ascii="Times New Roman" w:eastAsia="MS Gothic" w:hAnsi="Times New Roman" w:cs="Times New Roman"/>
                <w:sz w:val="18"/>
              </w:rPr>
              <w:t>. Moskva: Jazyki slavjanskoj kul'tury, 2005.</w:t>
            </w:r>
          </w:p>
          <w:p w14:paraId="04A406F2" w14:textId="77777777" w:rsidR="009F7CC6" w:rsidRDefault="009F7CC6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7CC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Tulloch, John. </w:t>
            </w:r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Chekhov: A Structuralist Study</w:t>
            </w:r>
            <w:r w:rsidRPr="009F7CC6">
              <w:rPr>
                <w:rFonts w:ascii="Times New Roman" w:eastAsia="MS Gothic" w:hAnsi="Times New Roman" w:cs="Times New Roman"/>
                <w:sz w:val="18"/>
              </w:rPr>
              <w:t>. London – Basinstoke: The Macmillan Press Ltd., 1980.</w:t>
            </w:r>
          </w:p>
          <w:p w14:paraId="23AB1D60" w14:textId="77777777" w:rsidR="00D80A45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6808">
              <w:rPr>
                <w:rFonts w:ascii="Times New Roman" w:eastAsia="MS Gothic" w:hAnsi="Times New Roman" w:cs="Times New Roman"/>
                <w:sz w:val="18"/>
              </w:rPr>
              <w:t>Vidić, Adrijana, Marta Džaja. „I koliko ljubavi… o, začarano jezero!“: jezersko i riječno u dramama A. P. Čehova“. Ur. R. Božić, K. Kuvač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Levačić. </w:t>
            </w:r>
            <w:r w:rsidRPr="00D96808">
              <w:rPr>
                <w:rFonts w:ascii="Times New Roman" w:eastAsia="MS Gothic" w:hAnsi="Times New Roman" w:cs="Times New Roman"/>
                <w:i/>
                <w:sz w:val="18"/>
              </w:rPr>
              <w:t>Zadarski filološki dani VI</w:t>
            </w:r>
            <w:r w:rsidRPr="00D96808">
              <w:rPr>
                <w:rFonts w:ascii="Times New Roman" w:eastAsia="MS Gothic" w:hAnsi="Times New Roman" w:cs="Times New Roman"/>
                <w:sz w:val="18"/>
              </w:rPr>
              <w:t>. Zadar: Sveučilište u Zadru, 2017. 337-353.</w:t>
            </w:r>
          </w:p>
          <w:p w14:paraId="7692ACD6" w14:textId="77777777" w:rsidR="00D96808" w:rsidRPr="009947BA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5C64F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4191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464CCAD" w14:textId="77777777" w:rsidR="009A284F" w:rsidRDefault="00EC73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Aizlewood, Robin. „Leskov's 'Ledi Makbet Mtsenskogo uezda': Composition and Symbolic Framework“. </w:t>
            </w:r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The Slavonic and East European Review</w:t>
            </w:r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85.3 (2007): 401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-440. </w:t>
            </w:r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A0CBF3E" w14:textId="77777777"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>Aliev, Baktygul. „Desacralizing the Idyll: Chekhov's Transformation of the Pastoral“. The Russian Review 69.3 (2010): 463-476. JSTOR.</w:t>
            </w:r>
          </w:p>
          <w:p w14:paraId="5611A8C8" w14:textId="77777777" w:rsidR="00EC73C8" w:rsidRDefault="00144C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Baehr, Stephen L. „The Machine in Chekhov's Garden: Progress and Pastoral in the 'Cherry Orchard'“. </w:t>
            </w:r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43.1 (1999): 99-121. </w:t>
            </w:r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84D2D9" w14:textId="77777777"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Benjamin, Walter. „The Story-Teller: Reflections on the Works of Nicolai Leskov“. Prev. Harry Zohn.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Chicago Review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16.1 (1963): 80- 101.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899D900" w14:textId="77777777" w:rsidR="00144C81" w:rsidRDefault="00FB5DC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Evdokimova, Svetlana. „What's so Funny about Losing One's Estate, or Infantilism in 'The Cherry Orchard'“.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44.4 (2000): 623-648.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26ACBE" w14:textId="77777777" w:rsidR="00FC3C63" w:rsidRDefault="00FC3C6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Marsh, Cynthia. „The Implications of Quotation in Performance: Masha's Lines from Pushkin in Chekhov's 'Three Sisters'“. </w:t>
            </w:r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The Slavonic and East European Review</w:t>
            </w:r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84.3 (2006): 446-459. </w:t>
            </w:r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C3C6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BDC366" w14:textId="77777777" w:rsidR="00926E2A" w:rsidRDefault="00926E2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Shcherbenok, Andrey. „'Killing Realism': Insight and Meaning in Anton Chekhov“. </w:t>
            </w:r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54.2 (2010): 297- 316. </w:t>
            </w:r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FDF9BF" w14:textId="77777777"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Scott, Virginia. „Life in Art: A Reading of 'The Seagull'“.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 Theatre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30.3 (1978): 357-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367.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762D81E" w14:textId="77777777"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Senelick, Laurence. „The Lake-Shore of Bohemia: 'The Seagull's' Theatrical Context“.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 Theatre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29.2 (1977): 199-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213.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609FEE5" w14:textId="77777777"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---. „Stuffed Seagulls: Parody and the Reception of Chekhov's Plays“.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Poetics Today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8.2 (1987): 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85-298. </w:t>
            </w:r>
            <w:r w:rsidRPr="006116C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88464BD" w14:textId="77777777" w:rsidR="00FB5DCA" w:rsidRDefault="00C17C1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Stroud, T. A. „Hamlet and 'The Seagull'“.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Shakespeare Quarterly</w:t>
            </w:r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9.3 (1958):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67-372.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A19A6CA" w14:textId="77777777" w:rsidR="00C17C14" w:rsidRDefault="00CC70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70FD">
              <w:rPr>
                <w:rFonts w:ascii="Times New Roman" w:eastAsia="MS Gothic" w:hAnsi="Times New Roman" w:cs="Times New Roman"/>
                <w:sz w:val="18"/>
              </w:rPr>
              <w:t>Winner, Thomas 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„Chekhov's 'Seagull' and Shakespeare's 'Hamlet': A Study of a Dramatic Device“. </w:t>
            </w:r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The American Slavic and East European Review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15.1 (1956): 103-111. </w:t>
            </w:r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5205E17" w14:textId="77777777" w:rsidR="00BF47EB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1A423A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3E4D5B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CE79CC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C7578B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5C9AF7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F9639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A6F479E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A1B459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34A65A8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82AE52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0A4E9A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1A443C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1DDE84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D579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8F58499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DECA9E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B3E4E2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049A641" w14:textId="77777777"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14:paraId="647BF543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7CE98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179FE3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E5D71A6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A948F4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23D2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6E602C68" w14:textId="77777777" w:rsidR="009A284F" w:rsidRPr="00B7307A" w:rsidRDefault="00CE232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50 % seminarski rad, 50 %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14:paraId="04EFEA3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49C6F3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962339E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762F7FB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14:paraId="5AD052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76AF25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FA1E9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0739CE8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7E57504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3E2C66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83805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83C7336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221CBF4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5A4B4DA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DE265C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67C057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244A87D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CF8CF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5EFD3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C963236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191104F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4E13C5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4F658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0F7300D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5FB6985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90BE477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8487834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F384DF7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22B2B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9A6D8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A6991E4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F0E9F3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EFF9E9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F748A0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4E03A1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920338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65B95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083ABF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6685A5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C5EF6B3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2D37BFC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2A15" w14:textId="77777777" w:rsidR="00C26476" w:rsidRDefault="00C26476" w:rsidP="009947BA">
      <w:pPr>
        <w:spacing w:before="0" w:after="0"/>
      </w:pPr>
      <w:r>
        <w:separator/>
      </w:r>
    </w:p>
  </w:endnote>
  <w:endnote w:type="continuationSeparator" w:id="0">
    <w:p w14:paraId="7B296D73" w14:textId="77777777" w:rsidR="00C26476" w:rsidRDefault="00C2647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756F" w14:textId="77777777" w:rsidR="00C26476" w:rsidRDefault="00C26476" w:rsidP="009947BA">
      <w:pPr>
        <w:spacing w:before="0" w:after="0"/>
      </w:pPr>
      <w:r>
        <w:separator/>
      </w:r>
    </w:p>
  </w:footnote>
  <w:footnote w:type="continuationSeparator" w:id="0">
    <w:p w14:paraId="4BAB2F5F" w14:textId="77777777" w:rsidR="00C26476" w:rsidRDefault="00C26476" w:rsidP="009947BA">
      <w:pPr>
        <w:spacing w:before="0" w:after="0"/>
      </w:pPr>
      <w:r>
        <w:continuationSeparator/>
      </w:r>
    </w:p>
  </w:footnote>
  <w:footnote w:id="1">
    <w:p w14:paraId="3027FE5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8B7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6A81" wp14:editId="2CE389B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565AD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9021960" wp14:editId="7094620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1FE27A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E442B6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842D4CF" w14:textId="77777777" w:rsidR="0079745E" w:rsidRDefault="0079745E" w:rsidP="0079745E">
    <w:pPr>
      <w:pStyle w:val="Header"/>
    </w:pPr>
  </w:p>
  <w:p w14:paraId="56EAC55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96610">
    <w:abstractNumId w:val="3"/>
  </w:num>
  <w:num w:numId="2" w16cid:durableId="1027174448">
    <w:abstractNumId w:val="1"/>
  </w:num>
  <w:num w:numId="3" w16cid:durableId="454368781">
    <w:abstractNumId w:val="0"/>
  </w:num>
  <w:num w:numId="4" w16cid:durableId="82871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6098"/>
    <w:rsid w:val="0001045D"/>
    <w:rsid w:val="0004369A"/>
    <w:rsid w:val="000A11A6"/>
    <w:rsid w:val="000A790E"/>
    <w:rsid w:val="000C0578"/>
    <w:rsid w:val="000C77E5"/>
    <w:rsid w:val="000D649E"/>
    <w:rsid w:val="0010332B"/>
    <w:rsid w:val="00106AB3"/>
    <w:rsid w:val="001146E4"/>
    <w:rsid w:val="00122762"/>
    <w:rsid w:val="001443A2"/>
    <w:rsid w:val="0014441E"/>
    <w:rsid w:val="00144C81"/>
    <w:rsid w:val="00150B32"/>
    <w:rsid w:val="00151BE4"/>
    <w:rsid w:val="00197510"/>
    <w:rsid w:val="00197678"/>
    <w:rsid w:val="001D74CB"/>
    <w:rsid w:val="002243A0"/>
    <w:rsid w:val="0022722C"/>
    <w:rsid w:val="0023518F"/>
    <w:rsid w:val="0028545A"/>
    <w:rsid w:val="002A27B4"/>
    <w:rsid w:val="002B6856"/>
    <w:rsid w:val="002D0B1F"/>
    <w:rsid w:val="002E1CE6"/>
    <w:rsid w:val="002F2D22"/>
    <w:rsid w:val="00315622"/>
    <w:rsid w:val="00325B1F"/>
    <w:rsid w:val="00326091"/>
    <w:rsid w:val="0033415D"/>
    <w:rsid w:val="00345646"/>
    <w:rsid w:val="00356E85"/>
    <w:rsid w:val="00357643"/>
    <w:rsid w:val="00371634"/>
    <w:rsid w:val="00386E9C"/>
    <w:rsid w:val="00393964"/>
    <w:rsid w:val="003A3E41"/>
    <w:rsid w:val="003A3FA8"/>
    <w:rsid w:val="003F11B6"/>
    <w:rsid w:val="003F17B8"/>
    <w:rsid w:val="00405466"/>
    <w:rsid w:val="004077D5"/>
    <w:rsid w:val="004208DB"/>
    <w:rsid w:val="00453362"/>
    <w:rsid w:val="00461219"/>
    <w:rsid w:val="00470F6D"/>
    <w:rsid w:val="00483BC3"/>
    <w:rsid w:val="004923F4"/>
    <w:rsid w:val="004B553E"/>
    <w:rsid w:val="005353ED"/>
    <w:rsid w:val="005514C3"/>
    <w:rsid w:val="00560D45"/>
    <w:rsid w:val="005A6E38"/>
    <w:rsid w:val="005D3518"/>
    <w:rsid w:val="005D64F4"/>
    <w:rsid w:val="005E1668"/>
    <w:rsid w:val="005F6E0B"/>
    <w:rsid w:val="00601F77"/>
    <w:rsid w:val="006116CD"/>
    <w:rsid w:val="0062328F"/>
    <w:rsid w:val="0063482B"/>
    <w:rsid w:val="00643FCF"/>
    <w:rsid w:val="006758B6"/>
    <w:rsid w:val="0068392C"/>
    <w:rsid w:val="00684BBC"/>
    <w:rsid w:val="006B4920"/>
    <w:rsid w:val="00700D7A"/>
    <w:rsid w:val="007361E7"/>
    <w:rsid w:val="007368EB"/>
    <w:rsid w:val="007418B9"/>
    <w:rsid w:val="00767528"/>
    <w:rsid w:val="00771488"/>
    <w:rsid w:val="0078125F"/>
    <w:rsid w:val="00785CAA"/>
    <w:rsid w:val="0079199B"/>
    <w:rsid w:val="00794496"/>
    <w:rsid w:val="007967CC"/>
    <w:rsid w:val="0079745E"/>
    <w:rsid w:val="00797B40"/>
    <w:rsid w:val="007A774A"/>
    <w:rsid w:val="007C43A4"/>
    <w:rsid w:val="007C54F0"/>
    <w:rsid w:val="007D4D2D"/>
    <w:rsid w:val="0082340F"/>
    <w:rsid w:val="00825837"/>
    <w:rsid w:val="00842142"/>
    <w:rsid w:val="00851E00"/>
    <w:rsid w:val="00865776"/>
    <w:rsid w:val="00872E4B"/>
    <w:rsid w:val="00873B85"/>
    <w:rsid w:val="00874D5D"/>
    <w:rsid w:val="00891C60"/>
    <w:rsid w:val="008942F0"/>
    <w:rsid w:val="008A3541"/>
    <w:rsid w:val="008B24CA"/>
    <w:rsid w:val="008C2C80"/>
    <w:rsid w:val="008D45DB"/>
    <w:rsid w:val="0090214F"/>
    <w:rsid w:val="009163E6"/>
    <w:rsid w:val="00926E2A"/>
    <w:rsid w:val="00962E12"/>
    <w:rsid w:val="009760E8"/>
    <w:rsid w:val="009947BA"/>
    <w:rsid w:val="00997F41"/>
    <w:rsid w:val="009A284F"/>
    <w:rsid w:val="009C56B1"/>
    <w:rsid w:val="009D1BDE"/>
    <w:rsid w:val="009D5226"/>
    <w:rsid w:val="009E2FD4"/>
    <w:rsid w:val="009F7CC6"/>
    <w:rsid w:val="00A9132B"/>
    <w:rsid w:val="00AA1A5A"/>
    <w:rsid w:val="00AB4E52"/>
    <w:rsid w:val="00AC0634"/>
    <w:rsid w:val="00AD23FB"/>
    <w:rsid w:val="00AF2817"/>
    <w:rsid w:val="00B14C5A"/>
    <w:rsid w:val="00B4202A"/>
    <w:rsid w:val="00B612F8"/>
    <w:rsid w:val="00B71A57"/>
    <w:rsid w:val="00B7307A"/>
    <w:rsid w:val="00BC0151"/>
    <w:rsid w:val="00BF47EB"/>
    <w:rsid w:val="00C02454"/>
    <w:rsid w:val="00C17C14"/>
    <w:rsid w:val="00C225D3"/>
    <w:rsid w:val="00C26476"/>
    <w:rsid w:val="00C31F65"/>
    <w:rsid w:val="00C3477B"/>
    <w:rsid w:val="00C45D98"/>
    <w:rsid w:val="00C8264C"/>
    <w:rsid w:val="00C85412"/>
    <w:rsid w:val="00C85956"/>
    <w:rsid w:val="00C9733D"/>
    <w:rsid w:val="00CA27C5"/>
    <w:rsid w:val="00CA3783"/>
    <w:rsid w:val="00CA3A45"/>
    <w:rsid w:val="00CA4B93"/>
    <w:rsid w:val="00CB23F4"/>
    <w:rsid w:val="00CC24F0"/>
    <w:rsid w:val="00CC70FD"/>
    <w:rsid w:val="00CE232B"/>
    <w:rsid w:val="00CF5EFB"/>
    <w:rsid w:val="00CF66EB"/>
    <w:rsid w:val="00D12C6E"/>
    <w:rsid w:val="00D136E4"/>
    <w:rsid w:val="00D176A8"/>
    <w:rsid w:val="00D266FB"/>
    <w:rsid w:val="00D5236D"/>
    <w:rsid w:val="00D5334D"/>
    <w:rsid w:val="00D5523D"/>
    <w:rsid w:val="00D80A45"/>
    <w:rsid w:val="00D944DF"/>
    <w:rsid w:val="00D96808"/>
    <w:rsid w:val="00DB1568"/>
    <w:rsid w:val="00DC4A14"/>
    <w:rsid w:val="00DD110C"/>
    <w:rsid w:val="00DE6D53"/>
    <w:rsid w:val="00E06E39"/>
    <w:rsid w:val="00E07D73"/>
    <w:rsid w:val="00E17D18"/>
    <w:rsid w:val="00E30E67"/>
    <w:rsid w:val="00E602A9"/>
    <w:rsid w:val="00EC73C8"/>
    <w:rsid w:val="00ED4B8F"/>
    <w:rsid w:val="00F00EF9"/>
    <w:rsid w:val="00F02A8F"/>
    <w:rsid w:val="00F20E05"/>
    <w:rsid w:val="00F24A30"/>
    <w:rsid w:val="00F513E0"/>
    <w:rsid w:val="00F55B1D"/>
    <w:rsid w:val="00F566DA"/>
    <w:rsid w:val="00F84F5E"/>
    <w:rsid w:val="00F87BFA"/>
    <w:rsid w:val="00FB5DCA"/>
    <w:rsid w:val="00FC03F3"/>
    <w:rsid w:val="00FC2198"/>
    <w:rsid w:val="00FC283E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BFCB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6AD-CF3F-4AA0-9A15-6FEF2791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19</cp:revision>
  <dcterms:created xsi:type="dcterms:W3CDTF">2020-10-05T12:57:00Z</dcterms:created>
  <dcterms:modified xsi:type="dcterms:W3CDTF">2022-09-25T16:08:00Z</dcterms:modified>
</cp:coreProperties>
</file>