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178"/>
        <w:gridCol w:w="504"/>
        <w:gridCol w:w="331"/>
        <w:gridCol w:w="217"/>
        <w:gridCol w:w="477"/>
        <w:gridCol w:w="30"/>
        <w:gridCol w:w="345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:rsidTr="00733D6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4997" w:type="dxa"/>
            <w:gridSpan w:val="23"/>
            <w:vAlign w:val="center"/>
          </w:tcPr>
          <w:p w:rsidR="004B553E" w:rsidRPr="00FF1020" w:rsidRDefault="00084FF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  <w:tc>
          <w:tcPr>
            <w:tcW w:w="957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733D60">
              <w:rPr>
                <w:rFonts w:ascii="Merriweather" w:hAnsi="Merriweather" w:cs="Times New Roman"/>
                <w:sz w:val="18"/>
              </w:rPr>
              <w:t>202</w:t>
            </w:r>
            <w:r w:rsidR="00682BC5">
              <w:rPr>
                <w:rFonts w:ascii="Merriweather" w:hAnsi="Merriweather" w:cs="Times New Roman"/>
                <w:sz w:val="18"/>
              </w:rPr>
              <w:t>5</w:t>
            </w:r>
            <w:r w:rsidRPr="00733D60">
              <w:rPr>
                <w:rFonts w:ascii="Merriweather" w:hAnsi="Merriweather" w:cs="Times New Roman"/>
                <w:sz w:val="18"/>
              </w:rPr>
              <w:t>./202</w:t>
            </w:r>
            <w:r w:rsidR="00682BC5">
              <w:rPr>
                <w:rFonts w:ascii="Merriweather" w:hAnsi="Merriweather" w:cs="Times New Roman"/>
                <w:sz w:val="18"/>
              </w:rPr>
              <w:t>6</w:t>
            </w:r>
            <w:r w:rsidRPr="00733D60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B553E" w:rsidRPr="00FF1020" w:rsidTr="00733D6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4997" w:type="dxa"/>
            <w:gridSpan w:val="23"/>
            <w:vAlign w:val="center"/>
          </w:tcPr>
          <w:p w:rsidR="004B553E" w:rsidRPr="00FF1020" w:rsidRDefault="00084FF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Ruski u učionici 1</w:t>
            </w:r>
          </w:p>
        </w:tc>
        <w:tc>
          <w:tcPr>
            <w:tcW w:w="957" w:type="dxa"/>
            <w:gridSpan w:val="5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:rsidR="004B553E" w:rsidRPr="00FF1020" w:rsidRDefault="00682BC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1</w:t>
            </w:r>
          </w:p>
        </w:tc>
      </w:tr>
      <w:tr w:rsidR="004B553E" w:rsidRPr="00FF1020" w:rsidTr="00FC283E">
        <w:tc>
          <w:tcPr>
            <w:tcW w:w="1802" w:type="dxa"/>
            <w:shd w:val="clear" w:color="auto" w:fill="F2F2F2" w:themeFill="background1" w:themeFillShade="F2"/>
          </w:tcPr>
          <w:p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:rsidR="004B553E" w:rsidRPr="00FF1020" w:rsidRDefault="00084FF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</w:t>
            </w:r>
            <w:r w:rsidR="007B5372">
              <w:rPr>
                <w:rFonts w:ascii="Times New Roman" w:hAnsi="Times New Roman" w:cs="Times New Roman"/>
                <w:sz w:val="20"/>
              </w:rPr>
              <w:t>ije</w:t>
            </w:r>
            <w:r>
              <w:rPr>
                <w:rFonts w:ascii="Times New Roman" w:hAnsi="Times New Roman" w:cs="Times New Roman"/>
                <w:sz w:val="20"/>
              </w:rPr>
              <w:t>diplomski sveučilišni studij ruskoga jezika i književnosti</w:t>
            </w:r>
          </w:p>
        </w:tc>
      </w:tr>
      <w:tr w:rsidR="004B553E" w:rsidRPr="00FF1020" w:rsidTr="00733D6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</w:t>
            </w:r>
            <w:r w:rsidR="007B5372">
              <w:rPr>
                <w:rFonts w:ascii="Merriweather" w:hAnsi="Merriweather" w:cs="Times New Roman"/>
                <w:sz w:val="17"/>
                <w:szCs w:val="17"/>
              </w:rPr>
              <w:t>rije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737" w:type="dxa"/>
            <w:gridSpan w:val="6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:rsidR="004B553E" w:rsidRPr="00FF1020" w:rsidRDefault="00C041C2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:rsidR="004B553E" w:rsidRPr="00FF1020" w:rsidRDefault="00C041C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4B553E" w:rsidRPr="00FF1020" w:rsidRDefault="00C041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393964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:rsidR="00393964" w:rsidRPr="00FF1020" w:rsidRDefault="00C041C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:rsidR="00393964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9"/>
            <w:shd w:val="clear" w:color="auto" w:fill="F2F2F2" w:themeFill="background1" w:themeFillShade="F2"/>
            <w:vAlign w:val="center"/>
          </w:tcPr>
          <w:p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393964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:rsidR="00393964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:rsidR="00453362" w:rsidRPr="00084FFA" w:rsidRDefault="00084FFA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FF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16" w:type="dxa"/>
            <w:gridSpan w:val="2"/>
          </w:tcPr>
          <w:p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4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453362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6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6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453362" w:rsidRPr="00FF1020" w:rsidRDefault="00733D60" w:rsidP="00084FF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v. raspored sati na mrežnim stranicama Sveučilišta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0"/>
            <w:vAlign w:val="center"/>
          </w:tcPr>
          <w:p w:rsidR="00453362" w:rsidRPr="00FF1020" w:rsidRDefault="00084FF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Hrvatski/ruski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453362" w:rsidRPr="00FF1020" w:rsidRDefault="00084FF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C5D23">
              <w:rPr>
                <w:rFonts w:ascii="Times New Roman" w:hAnsi="Times New Roman" w:cs="Times New Roman"/>
                <w:bCs/>
                <w:sz w:val="18"/>
                <w:szCs w:val="20"/>
              </w:rPr>
              <w:t>naknadno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0"/>
          </w:tcPr>
          <w:p w:rsidR="00453362" w:rsidRPr="00FF1020" w:rsidRDefault="00084FFA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C5D23">
              <w:rPr>
                <w:rFonts w:ascii="Times New Roman" w:hAnsi="Times New Roman" w:cs="Times New Roman"/>
                <w:bCs/>
                <w:sz w:val="18"/>
                <w:szCs w:val="20"/>
              </w:rPr>
              <w:t>naknadno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:rsidR="00453362" w:rsidRPr="00FF1020" w:rsidRDefault="00084FF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:rsidR="00453362" w:rsidRPr="00FF1020" w:rsidRDefault="00084FF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Žana Modrić Hrabrov, mag. educ. philol. russ., lektorica</w:t>
            </w:r>
          </w:p>
        </w:tc>
      </w:tr>
      <w:tr w:rsidR="00453362" w:rsidRPr="00FF1020" w:rsidTr="00733D6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438" w:type="dxa"/>
            <w:gridSpan w:val="18"/>
            <w:vAlign w:val="center"/>
          </w:tcPr>
          <w:p w:rsidR="00453362" w:rsidRPr="00FF1020" w:rsidRDefault="00084FF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zmodric@unizd.hr</w:t>
            </w: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489" w:type="dxa"/>
            <w:gridSpan w:val="9"/>
            <w:vAlign w:val="center"/>
          </w:tcPr>
          <w:p w:rsidR="00453362" w:rsidRPr="00084FFA" w:rsidRDefault="00682BC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Ponedjeljkom, 10-11:30</w:t>
            </w: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733D6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438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489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:rsidR="00453362" w:rsidRPr="00084FFA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FF1020" w:rsidTr="00733D6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438" w:type="dxa"/>
            <w:gridSpan w:val="18"/>
            <w:vAlign w:val="center"/>
          </w:tcPr>
          <w:p w:rsidR="00453362" w:rsidRPr="00084FFA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489" w:type="dxa"/>
            <w:gridSpan w:val="9"/>
            <w:vAlign w:val="center"/>
          </w:tcPr>
          <w:p w:rsidR="00931B46" w:rsidRPr="00FF1020" w:rsidRDefault="00931B4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733D60">
        <w:tc>
          <w:tcPr>
            <w:tcW w:w="1802" w:type="dxa"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438" w:type="dxa"/>
            <w:gridSpan w:val="18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489" w:type="dxa"/>
            <w:gridSpan w:val="9"/>
            <w:vAlign w:val="center"/>
          </w:tcPr>
          <w:p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453362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:rsidR="00084FFA" w:rsidRPr="00846D0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>Po završetku ovoga kolegija student će:</w:t>
            </w:r>
          </w:p>
          <w:p w:rsidR="00084FFA" w:rsidRPr="00846D0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>- aktivno koristiti stečena znanja i vještine u govornom i pismenom izražavanju,</w:t>
            </w:r>
          </w:p>
          <w:p w:rsidR="00084FFA" w:rsidRPr="00846D0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>- prevoditi kraće tekstove s hrvatskog na ruski jezik,</w:t>
            </w:r>
          </w:p>
          <w:p w:rsidR="00084FFA" w:rsidRPr="00846D0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>- moći sudjelovati u kraćim razgovorima na poznate teme,</w:t>
            </w:r>
          </w:p>
          <w:p w:rsidR="00084FFA" w:rsidRPr="00846D0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>- moći se predstaviti, opisati sebe i svoju obitelj, okruženje, studij i sl.,</w:t>
            </w:r>
          </w:p>
          <w:p w:rsidR="00084FFA" w:rsidRPr="00846D0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>- pismeno i usmeno prezentirati odabrane teme,</w:t>
            </w:r>
          </w:p>
          <w:p w:rsidR="00084FFA" w:rsidRDefault="00084FFA" w:rsidP="00084FF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</w:rPr>
            </w:pPr>
            <w:r w:rsidRPr="00846D0A">
              <w:rPr>
                <w:rFonts w:ascii="Times New Roman" w:hAnsi="Times New Roman" w:cs="Times New Roman"/>
                <w:sz w:val="18"/>
              </w:rPr>
              <w:t xml:space="preserve">- primjenjivati uvježbane gramatičke strukture i usvojeni vokabular u usmenom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310F9A" w:rsidRPr="00FF1020" w:rsidRDefault="00084FFA" w:rsidP="00084FF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846D0A">
              <w:rPr>
                <w:rFonts w:ascii="Times New Roman" w:hAnsi="Times New Roman" w:cs="Times New Roman"/>
                <w:sz w:val="18"/>
              </w:rPr>
              <w:t>i pismenom izražavanju.</w:t>
            </w:r>
          </w:p>
        </w:tc>
      </w:tr>
      <w:tr w:rsidR="00310F9A" w:rsidRPr="00FF1020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:rsidR="00084FFA" w:rsidRDefault="00084FFA" w:rsidP="00084FF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prepoznati i kombinirati temeljne pojmove fonetike i fonologije ruskoga </w:t>
            </w:r>
          </w:p>
          <w:p w:rsidR="00A57375" w:rsidRDefault="00084FFA" w:rsidP="00084FF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jezika.</w:t>
            </w:r>
          </w:p>
          <w:p w:rsidR="006D5A55" w:rsidRPr="006D5A55" w:rsidRDefault="006D5A55" w:rsidP="006D5A5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D5A55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636C1" w:rsidRPr="008636C1">
              <w:rPr>
                <w:rFonts w:ascii="Times New Roman" w:hAnsi="Times New Roman" w:cs="Times New Roman"/>
                <w:sz w:val="18"/>
              </w:rPr>
              <w:t>prepoznati i usporediti strane kulture i njihove značajke u svakodnevnim situacijama</w:t>
            </w:r>
          </w:p>
        </w:tc>
      </w:tr>
      <w:tr w:rsidR="00FC2198" w:rsidRPr="00FF1020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F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:rsidR="00FC2198" w:rsidRPr="00FF1020" w:rsidRDefault="00C041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:rsidR="00FC2198" w:rsidRPr="00FF1020" w:rsidRDefault="00084FF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Studenti ne polažu ispit iz kolegija Ruski u učionici 1 već ga samo slušaju kao nadopunu kolegij</w:t>
            </w:r>
            <w:r w:rsidR="00644D82">
              <w:rPr>
                <w:rFonts w:ascii="Times New Roman" w:eastAsia="MS Gothic" w:hAnsi="Times New Roman" w:cs="Times New Roman"/>
                <w:sz w:val="18"/>
              </w:rPr>
              <w:t>ima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Jezične vježbe 1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644D82">
              <w:rPr>
                <w:rFonts w:ascii="Times New Roman" w:eastAsia="MS Gothic" w:hAnsi="Times New Roman" w:cs="Times New Roman"/>
                <w:sz w:val="18"/>
              </w:rPr>
              <w:t xml:space="preserve">i Elementarna gramatika 1 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>– gradivo ovoga kolegija zastupljeno je u ispitu iz kolegija Jezične vježbe 1</w:t>
            </w:r>
            <w:r w:rsidR="00644D82">
              <w:rPr>
                <w:rFonts w:ascii="Times New Roman" w:eastAsia="MS Gothic" w:hAnsi="Times New Roman" w:cs="Times New Roman"/>
                <w:sz w:val="18"/>
              </w:rPr>
              <w:t xml:space="preserve"> i Elementarna gramatika 1</w:t>
            </w:r>
            <w:r>
              <w:rPr>
                <w:rFonts w:ascii="Times New Roman" w:eastAsia="MS Gothic" w:hAnsi="Times New Roman" w:cs="Times New Roman"/>
                <w:sz w:val="18"/>
              </w:rPr>
              <w:t>. Kolegij je osmišljen na način da studenti nastavničkoga smjera 2.g.dipl.razine pod mentorstvom predmetn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nastavni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>ce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održavaju nastavu studentima 1.g.pr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>ije</w:t>
            </w:r>
            <w:r>
              <w:rPr>
                <w:rFonts w:ascii="Times New Roman" w:eastAsia="MS Gothic" w:hAnsi="Times New Roman" w:cs="Times New Roman"/>
                <w:sz w:val="18"/>
              </w:rPr>
              <w:t>dipl.razine. Nastavne materijale za održavanje oglednoga sata dodjeljuje im predmetn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>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nastavni</w:t>
            </w:r>
            <w:r w:rsidR="00E4457E">
              <w:rPr>
                <w:rFonts w:ascii="Times New Roman" w:eastAsia="MS Gothic" w:hAnsi="Times New Roman" w:cs="Times New Roman"/>
                <w:sz w:val="18"/>
              </w:rPr>
              <w:t>ca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na kolegiju Jezične vježbe 1 tako da se obrada nastavnih materijala i formalno uklapa u program kolegija Jezične vježbe 1. Za uspješno odrađene obveze predviđene silabusom za kolegij Ruski u učionici 1 studenti ostvaruju pravo na potpis i </w:t>
            </w:r>
            <w:r w:rsidR="00682BC5">
              <w:rPr>
                <w:rFonts w:ascii="Times New Roman" w:eastAsia="MS Gothic" w:hAnsi="Times New Roman" w:cs="Times New Roman"/>
                <w:sz w:val="18"/>
              </w:rPr>
              <w:t>1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ECTS bod bez polaganja pismenog ili usmenog ispita, pod uvjetom da su redovno pohađali nastavu (min. </w:t>
            </w:r>
            <w:r w:rsidR="00D86854">
              <w:rPr>
                <w:rFonts w:ascii="Times New Roman" w:eastAsia="MS Gothic" w:hAnsi="Times New Roman" w:cs="Times New Roman"/>
                <w:sz w:val="18"/>
              </w:rPr>
              <w:t>8</w:t>
            </w:r>
            <w:r>
              <w:rPr>
                <w:rFonts w:ascii="Times New Roman" w:eastAsia="MS Gothic" w:hAnsi="Times New Roman" w:cs="Times New Roman"/>
                <w:sz w:val="18"/>
              </w:rPr>
              <w:t>0 % dolazaka).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1"/>
          </w:tcPr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:rsidTr="0079745E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FC2198" w:rsidRPr="00FF1020" w:rsidRDefault="00084FF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  <w:tc>
          <w:tcPr>
            <w:tcW w:w="2471" w:type="dxa"/>
            <w:gridSpan w:val="11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:rsidR="00FC2198" w:rsidRPr="00FF1020" w:rsidRDefault="00084FFA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83126">
              <w:rPr>
                <w:rFonts w:ascii="Times New Roman" w:eastAsia="MS Gothic" w:hAnsi="Times New Roman" w:cs="Times New Roman"/>
                <w:sz w:val="18"/>
              </w:rPr>
              <w:t>Cilj kolegija je omogućiti studentima druge godine diplomskog studija nastavničkog smjera koji su slušali kolegij Metodika nastave ruskoga jezika da u praktičnom smislu provjere znanje stečeno u navedenom kolegiju. Konkretno, kolegij Ruski u učionici</w:t>
            </w:r>
            <w:r w:rsidR="00EE735A">
              <w:rPr>
                <w:rFonts w:ascii="Times New Roman" w:eastAsia="MS Gothic" w:hAnsi="Times New Roman" w:cs="Times New Roman"/>
                <w:sz w:val="18"/>
              </w:rPr>
              <w:t xml:space="preserve"> 1</w:t>
            </w:r>
            <w:r w:rsidRPr="00983126">
              <w:rPr>
                <w:rFonts w:ascii="Times New Roman" w:eastAsia="MS Gothic" w:hAnsi="Times New Roman" w:cs="Times New Roman"/>
                <w:sz w:val="18"/>
              </w:rPr>
              <w:t xml:space="preserve"> za studente prve godine pr</w:t>
            </w:r>
            <w:r w:rsidR="002E092C">
              <w:rPr>
                <w:rFonts w:ascii="Times New Roman" w:eastAsia="MS Gothic" w:hAnsi="Times New Roman" w:cs="Times New Roman"/>
                <w:sz w:val="18"/>
              </w:rPr>
              <w:t>ije</w:t>
            </w:r>
            <w:r w:rsidRPr="00983126">
              <w:rPr>
                <w:rFonts w:ascii="Times New Roman" w:eastAsia="MS Gothic" w:hAnsi="Times New Roman" w:cs="Times New Roman"/>
                <w:sz w:val="18"/>
              </w:rPr>
              <w:t xml:space="preserve">diplomskog studija omogućava im da dodatno uvježbaju znanja i vještine stečene na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kolegiju </w:t>
            </w:r>
            <w:r w:rsidRPr="00983126">
              <w:rPr>
                <w:rFonts w:ascii="Times New Roman" w:eastAsia="MS Gothic" w:hAnsi="Times New Roman" w:cs="Times New Roman"/>
                <w:sz w:val="18"/>
              </w:rPr>
              <w:t>Jezične vje</w:t>
            </w:r>
            <w:r>
              <w:rPr>
                <w:rFonts w:ascii="Times New Roman" w:eastAsia="MS Gothic" w:hAnsi="Times New Roman" w:cs="Times New Roman"/>
                <w:sz w:val="18"/>
              </w:rPr>
              <w:t>žbe 1</w:t>
            </w:r>
            <w:r w:rsidR="00EE735A">
              <w:rPr>
                <w:rFonts w:ascii="Times New Roman" w:eastAsia="MS Gothic" w:hAnsi="Times New Roman" w:cs="Times New Roman"/>
                <w:sz w:val="18"/>
              </w:rPr>
              <w:t xml:space="preserve"> i Elementarna gramatika 1.</w:t>
            </w:r>
            <w:bookmarkStart w:id="0" w:name="_GoBack"/>
            <w:bookmarkEnd w:id="0"/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:rsidR="00FC2198" w:rsidRPr="00FF1020" w:rsidRDefault="00084FF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Nastavne teme određuje predmetna nastavnica (Žana Modrić Hrabrov, mag. educ. philol. russ.) ovisno o količini obrađenog gradiva. Nastavne teme se određuju individualno za svakog studenta prema planu i programu kolegija Jezične vježbe 1</w:t>
            </w:r>
            <w:r w:rsidR="00EE735A">
              <w:rPr>
                <w:rFonts w:ascii="Times New Roman" w:eastAsia="MS Gothic" w:hAnsi="Times New Roman" w:cs="Times New Roman"/>
                <w:sz w:val="18"/>
              </w:rPr>
              <w:t xml:space="preserve"> i Elementarna gramatika 1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:rsidR="00FC2198" w:rsidRPr="00FF1020" w:rsidRDefault="009E075E" w:rsidP="00084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Hrnjak, A.: 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Шаг за шагом. </w:t>
            </w:r>
            <w:r>
              <w:rPr>
                <w:rFonts w:ascii="Times New Roman" w:eastAsia="MS Gothic" w:hAnsi="Times New Roman" w:cs="Times New Roman"/>
                <w:sz w:val="18"/>
              </w:rPr>
              <w:t>Sveučilišni udžbenik ruskog jezika. Knjigra, Zagreb. 2010.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:rsidR="009E075E" w:rsidRPr="006C66E3" w:rsidRDefault="009E075E" w:rsidP="009E07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C66E3">
              <w:rPr>
                <w:rFonts w:ascii="Times New Roman" w:eastAsia="MS Gothic" w:hAnsi="Times New Roman" w:cs="Times New Roman"/>
                <w:sz w:val="18"/>
              </w:rPr>
              <w:t>1. Антонова, В.Е., Нахабина, М.М., Сафронова, М.В., Толстых, А.А.:Дорога в    </w:t>
            </w:r>
          </w:p>
          <w:p w:rsidR="009E075E" w:rsidRPr="006C66E3" w:rsidRDefault="009E075E" w:rsidP="009E07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6C66E3">
              <w:rPr>
                <w:rFonts w:ascii="Times New Roman" w:eastAsia="MS Gothic" w:hAnsi="Times New Roman" w:cs="Times New Roman"/>
                <w:sz w:val="18"/>
              </w:rPr>
              <w:t>Россию:учебник русского языка (элементарный уровень), СПб. Златоуст, 2013.</w:t>
            </w:r>
          </w:p>
          <w:p w:rsidR="009E075E" w:rsidRDefault="009E075E" w:rsidP="009E07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6C66E3">
              <w:rPr>
                <w:rFonts w:ascii="Times New Roman" w:eastAsia="MS Gothic" w:hAnsi="Times New Roman" w:cs="Times New Roman"/>
                <w:sz w:val="18"/>
              </w:rPr>
              <w:t>2. </w:t>
            </w:r>
            <w:r w:rsidRPr="006C66E3">
              <w:rPr>
                <w:rFonts w:ascii="Times New Roman" w:eastAsia="MS Gothic" w:hAnsi="Times New Roman" w:cs="Times New Roman"/>
                <w:sz w:val="18"/>
                <w:lang w:val="ru-RU"/>
              </w:rPr>
              <w:t>Беляева, Г.В., Нахабина</w:t>
            </w:r>
            <w:r w:rsidRPr="006C66E3">
              <w:rPr>
                <w:rFonts w:ascii="Times New Roman" w:eastAsia="MS Gothic" w:hAnsi="Times New Roman" w:cs="Times New Roman"/>
                <w:sz w:val="18"/>
              </w:rPr>
              <w:t>,</w:t>
            </w:r>
            <w:r w:rsidRPr="006C66E3">
              <w:rPr>
                <w:rFonts w:ascii="Times New Roman" w:eastAsia="MS Gothic" w:hAnsi="Times New Roman" w:cs="Times New Roman"/>
                <w:sz w:val="18"/>
                <w:lang w:val="ru-RU"/>
              </w:rPr>
              <w:t> М.М.</w:t>
            </w:r>
            <w:r w:rsidRPr="006C66E3">
              <w:rPr>
                <w:rFonts w:ascii="Times New Roman" w:eastAsia="MS Gothic" w:hAnsi="Times New Roman" w:cs="Times New Roman"/>
                <w:sz w:val="18"/>
              </w:rPr>
              <w:t>: </w:t>
            </w:r>
            <w:r w:rsidRPr="006C66E3">
              <w:rPr>
                <w:rFonts w:ascii="Times New Roman" w:eastAsia="MS Gothic" w:hAnsi="Times New Roman" w:cs="Times New Roman"/>
                <w:sz w:val="18"/>
                <w:lang w:val="ru-RU"/>
              </w:rPr>
              <w:t>Я пишу по-русски (пособие по письму, книга для студентов, элементарный уровень), Москва, МГУ, 2005.</w:t>
            </w:r>
          </w:p>
          <w:p w:rsidR="00084FFA" w:rsidRPr="006C66E3" w:rsidRDefault="009E075E" w:rsidP="009E07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3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</w:rPr>
              <w:t>. Poljanec, R.F., Madatova-Poljanec, S.M.: Rusko-hrvatski rječnik. Školska knjiga, Zagreb. 2012.</w:t>
            </w:r>
          </w:p>
          <w:p w:rsidR="00084FFA" w:rsidRPr="006C66E3" w:rsidRDefault="009E075E" w:rsidP="00084FF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E075E">
              <w:rPr>
                <w:rFonts w:ascii="Times New Roman" w:eastAsia="MS Gothic" w:hAnsi="Times New Roman" w:cs="Times New Roman"/>
                <w:sz w:val="18"/>
              </w:rPr>
              <w:t>4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</w:rPr>
              <w:t>. Dautović, M.: Hrvatsko-ruski priručni rječnik. Školska knjiga, Zagreb. 2007.</w:t>
            </w:r>
          </w:p>
          <w:p w:rsidR="00084FFA" w:rsidRPr="006C66E3" w:rsidRDefault="009E075E" w:rsidP="00084FF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57375">
              <w:rPr>
                <w:rFonts w:ascii="Times New Roman" w:eastAsia="MS Gothic" w:hAnsi="Times New Roman" w:cs="Times New Roman"/>
                <w:sz w:val="18"/>
              </w:rPr>
              <w:t>5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</w:rPr>
              <w:t>. Poljanec, R.F.: Ruska gramatika. Školska knjiga. Zagreb. 2013.</w:t>
            </w:r>
          </w:p>
          <w:p w:rsidR="00FC2198" w:rsidRPr="00FF1020" w:rsidRDefault="009E075E" w:rsidP="00084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A57375">
              <w:rPr>
                <w:rFonts w:ascii="Times New Roman" w:eastAsia="MS Gothic" w:hAnsi="Times New Roman" w:cs="Times New Roman"/>
                <w:sz w:val="18"/>
              </w:rPr>
              <w:t>6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</w:rPr>
              <w:t>. Karavanova, N.B.: 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  <w:lang w:val="ru-RU"/>
              </w:rPr>
              <w:t>Говорите</w:t>
            </w:r>
            <w:r w:rsidR="00084FFA" w:rsidRPr="007C5D23">
              <w:rPr>
                <w:rFonts w:ascii="Times New Roman" w:eastAsia="MS Gothic" w:hAnsi="Times New Roman" w:cs="Times New Roman"/>
                <w:sz w:val="18"/>
              </w:rPr>
              <w:t> 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  <w:lang w:val="ru-RU"/>
              </w:rPr>
              <w:t>правильно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</w:rPr>
              <w:t>. </w:t>
            </w:r>
            <w:r w:rsidR="00084FFA" w:rsidRPr="006C66E3">
              <w:rPr>
                <w:rFonts w:ascii="Times New Roman" w:eastAsia="MS Gothic" w:hAnsi="Times New Roman" w:cs="Times New Roman"/>
                <w:sz w:val="18"/>
                <w:lang w:val="ru-RU"/>
              </w:rPr>
              <w:t>Русский язык, курсы. Москва. 2017.</w:t>
            </w:r>
          </w:p>
        </w:tc>
      </w:tr>
      <w:tr w:rsidR="00FC2198" w:rsidRPr="00FF1020" w:rsidTr="00FF1020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:rsidR="00FC2198" w:rsidRPr="00FF1020" w:rsidRDefault="00084FFA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-</w:t>
            </w:r>
          </w:p>
        </w:tc>
      </w:tr>
      <w:tr w:rsidR="00B71A57" w:rsidRPr="00FF1020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:rsidTr="00733D60">
        <w:tc>
          <w:tcPr>
            <w:tcW w:w="1802" w:type="dxa"/>
            <w:vMerge/>
            <w:shd w:val="clear" w:color="auto" w:fill="F2F2F2" w:themeFill="background1" w:themeFillShade="F2"/>
          </w:tcPr>
          <w:p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055" w:type="dxa"/>
            <w:gridSpan w:val="4"/>
            <w:vAlign w:val="center"/>
          </w:tcPr>
          <w:p w:rsidR="00B71A57" w:rsidRPr="00FF1020" w:rsidRDefault="00C041C2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306" w:type="dxa"/>
            <w:gridSpan w:val="7"/>
            <w:vAlign w:val="center"/>
          </w:tcPr>
          <w:p w:rsidR="00B71A57" w:rsidRPr="00FF1020" w:rsidRDefault="00C041C2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B71A57" w:rsidRPr="00FF1020" w:rsidRDefault="00C041C2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:rsidR="00FC2198" w:rsidRPr="00FF1020" w:rsidRDefault="00084FF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-</w:t>
            </w:r>
          </w:p>
        </w:tc>
      </w:tr>
      <w:tr w:rsidR="00FC2198" w:rsidRPr="00FF1020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6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FF1020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FC2198" w:rsidRPr="00FF1020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FC2198" w:rsidRPr="00FF1020" w:rsidRDefault="00C041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:rsidTr="00FC2198">
        <w:tc>
          <w:tcPr>
            <w:tcW w:w="1802" w:type="dxa"/>
            <w:shd w:val="clear" w:color="auto" w:fill="F2F2F2" w:themeFill="background1" w:themeFillShade="F2"/>
          </w:tcPr>
          <w:p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2"/>
            <w:shd w:val="clear" w:color="auto" w:fill="auto"/>
          </w:tcPr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1C2" w:rsidRDefault="00C041C2" w:rsidP="009947BA">
      <w:pPr>
        <w:spacing w:before="0" w:after="0"/>
      </w:pPr>
      <w:r>
        <w:separator/>
      </w:r>
    </w:p>
  </w:endnote>
  <w:endnote w:type="continuationSeparator" w:id="0">
    <w:p w:rsidR="00C041C2" w:rsidRDefault="00C041C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1C2" w:rsidRDefault="00C041C2" w:rsidP="009947BA">
      <w:pPr>
        <w:spacing w:before="0" w:after="0"/>
      </w:pPr>
      <w:r>
        <w:separator/>
      </w:r>
    </w:p>
  </w:footnote>
  <w:footnote w:type="continuationSeparator" w:id="0">
    <w:p w:rsidR="00C041C2" w:rsidRDefault="00C041C2" w:rsidP="009947BA">
      <w:pPr>
        <w:spacing w:before="0" w:after="0"/>
      </w:pPr>
      <w:r>
        <w:continuationSeparator/>
      </w:r>
    </w:p>
  </w:footnote>
  <w:footnote w:id="1">
    <w:p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710A0" wp14:editId="0E85B8F3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7D32BFB" wp14:editId="2B4B183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:rsidR="0079745E" w:rsidRDefault="0079745E" w:rsidP="0079745E">
    <w:pPr>
      <w:pStyle w:val="Header"/>
    </w:pPr>
  </w:p>
  <w:p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6589"/>
    <w:multiLevelType w:val="hybridMultilevel"/>
    <w:tmpl w:val="97B0B19E"/>
    <w:lvl w:ilvl="0" w:tplc="5E5A0A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84FFA"/>
    <w:rsid w:val="000C0578"/>
    <w:rsid w:val="0010332B"/>
    <w:rsid w:val="001443A2"/>
    <w:rsid w:val="00150B32"/>
    <w:rsid w:val="00197510"/>
    <w:rsid w:val="001C7C51"/>
    <w:rsid w:val="00226462"/>
    <w:rsid w:val="0022722C"/>
    <w:rsid w:val="0028545A"/>
    <w:rsid w:val="002E092C"/>
    <w:rsid w:val="002E1CE6"/>
    <w:rsid w:val="002F2D22"/>
    <w:rsid w:val="00310F9A"/>
    <w:rsid w:val="00322A94"/>
    <w:rsid w:val="00326091"/>
    <w:rsid w:val="00357643"/>
    <w:rsid w:val="00371634"/>
    <w:rsid w:val="00377A70"/>
    <w:rsid w:val="00386E9C"/>
    <w:rsid w:val="00393964"/>
    <w:rsid w:val="003A3F54"/>
    <w:rsid w:val="003F11B6"/>
    <w:rsid w:val="003F17B8"/>
    <w:rsid w:val="00453362"/>
    <w:rsid w:val="00461219"/>
    <w:rsid w:val="00470F6D"/>
    <w:rsid w:val="00483BC3"/>
    <w:rsid w:val="0049174D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338E3"/>
    <w:rsid w:val="00644D82"/>
    <w:rsid w:val="00682BC5"/>
    <w:rsid w:val="00684BBC"/>
    <w:rsid w:val="0068626E"/>
    <w:rsid w:val="006B4920"/>
    <w:rsid w:val="006D5A55"/>
    <w:rsid w:val="006F0076"/>
    <w:rsid w:val="00700D7A"/>
    <w:rsid w:val="00721260"/>
    <w:rsid w:val="00733D60"/>
    <w:rsid w:val="007361E7"/>
    <w:rsid w:val="007368EB"/>
    <w:rsid w:val="00780A7F"/>
    <w:rsid w:val="0078125F"/>
    <w:rsid w:val="00794496"/>
    <w:rsid w:val="007967CC"/>
    <w:rsid w:val="0079745E"/>
    <w:rsid w:val="00797B40"/>
    <w:rsid w:val="007B5372"/>
    <w:rsid w:val="007C43A4"/>
    <w:rsid w:val="007D4D2D"/>
    <w:rsid w:val="00844E23"/>
    <w:rsid w:val="008636C1"/>
    <w:rsid w:val="00865776"/>
    <w:rsid w:val="00874D5D"/>
    <w:rsid w:val="00891C60"/>
    <w:rsid w:val="008942F0"/>
    <w:rsid w:val="008D45DB"/>
    <w:rsid w:val="0090214F"/>
    <w:rsid w:val="00911EBB"/>
    <w:rsid w:val="00914B39"/>
    <w:rsid w:val="009163E6"/>
    <w:rsid w:val="00931B46"/>
    <w:rsid w:val="009760E8"/>
    <w:rsid w:val="009947BA"/>
    <w:rsid w:val="00997F41"/>
    <w:rsid w:val="009A3A9D"/>
    <w:rsid w:val="009C56B1"/>
    <w:rsid w:val="009D5226"/>
    <w:rsid w:val="009E075E"/>
    <w:rsid w:val="009E2FD4"/>
    <w:rsid w:val="00A06750"/>
    <w:rsid w:val="00A57375"/>
    <w:rsid w:val="00A9132B"/>
    <w:rsid w:val="00AA1A5A"/>
    <w:rsid w:val="00AD23FB"/>
    <w:rsid w:val="00B441E4"/>
    <w:rsid w:val="00B71A57"/>
    <w:rsid w:val="00B7307A"/>
    <w:rsid w:val="00C02454"/>
    <w:rsid w:val="00C041C2"/>
    <w:rsid w:val="00C3477B"/>
    <w:rsid w:val="00C85956"/>
    <w:rsid w:val="00C9733D"/>
    <w:rsid w:val="00CA3783"/>
    <w:rsid w:val="00CB23F4"/>
    <w:rsid w:val="00D136E4"/>
    <w:rsid w:val="00D5334D"/>
    <w:rsid w:val="00D5523D"/>
    <w:rsid w:val="00D86854"/>
    <w:rsid w:val="00D944DF"/>
    <w:rsid w:val="00DD110C"/>
    <w:rsid w:val="00DD3A06"/>
    <w:rsid w:val="00DE6D53"/>
    <w:rsid w:val="00E06E39"/>
    <w:rsid w:val="00E07D73"/>
    <w:rsid w:val="00E17D18"/>
    <w:rsid w:val="00E30E67"/>
    <w:rsid w:val="00E4457E"/>
    <w:rsid w:val="00EB5A72"/>
    <w:rsid w:val="00EE735A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F106D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63B8-2836-41B8-9E35-D0DE4567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Žana</cp:lastModifiedBy>
  <cp:revision>5</cp:revision>
  <cp:lastPrinted>2021-02-12T11:27:00Z</cp:lastPrinted>
  <dcterms:created xsi:type="dcterms:W3CDTF">2025-10-01T16:49:00Z</dcterms:created>
  <dcterms:modified xsi:type="dcterms:W3CDTF">2025-10-01T17:06:00Z</dcterms:modified>
</cp:coreProperties>
</file>